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4394" w14:textId="066C17A9" w:rsidR="00C658FB" w:rsidRDefault="00C658FB">
      <w:pPr>
        <w:pStyle w:val="BodyText"/>
        <w:rPr>
          <w:b/>
          <w:sz w:val="20"/>
        </w:rPr>
      </w:pPr>
      <w:bookmarkStart w:id="0" w:name="_GoBack"/>
      <w:bookmarkEnd w:id="0"/>
    </w:p>
    <w:p w14:paraId="63D2717C" w14:textId="77777777" w:rsidR="00C658FB" w:rsidRDefault="00C658FB">
      <w:pPr>
        <w:pStyle w:val="BodyText"/>
        <w:rPr>
          <w:b/>
          <w:sz w:val="20"/>
        </w:rPr>
      </w:pPr>
    </w:p>
    <w:p w14:paraId="229DFC06" w14:textId="489D62D4" w:rsidR="00C658FB" w:rsidRDefault="00D4516A">
      <w:pPr>
        <w:pStyle w:val="BodyText"/>
        <w:rPr>
          <w:sz w:val="20"/>
        </w:rPr>
      </w:pPr>
      <w:r>
        <w:rPr>
          <w:noProof/>
          <w:sz w:val="20"/>
          <w:lang w:eastAsia="en-GB"/>
        </w:rPr>
        <mc:AlternateContent>
          <mc:Choice Requires="wpg">
            <w:drawing>
              <wp:inline distT="0" distB="0" distL="0" distR="0" wp14:anchorId="0C172333" wp14:editId="33CFE17A">
                <wp:extent cx="7074535" cy="777240"/>
                <wp:effectExtent l="0" t="0" r="12065"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885" y="0"/>
                            <a:ext cx="10256"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D0E51" w14:textId="77777777" w:rsidR="00F007A1" w:rsidRDefault="00F007A1">
                              <w:pPr>
                                <w:spacing w:line="315" w:lineRule="exact"/>
                                <w:ind w:left="720"/>
                                <w:rPr>
                                  <w:b/>
                                  <w:color w:val="FFFFFF"/>
                                  <w:sz w:val="40"/>
                                  <w:szCs w:val="40"/>
                                </w:rPr>
                              </w:pPr>
                            </w:p>
                            <w:p w14:paraId="38421DC8" w14:textId="50E8FE9A" w:rsidR="00F007A1" w:rsidRPr="005C2EA9" w:rsidRDefault="00F007A1">
                              <w:pPr>
                                <w:spacing w:line="315" w:lineRule="exact"/>
                                <w:ind w:left="720"/>
                                <w:rPr>
                                  <w:b/>
                                  <w:color w:val="FFFFFF"/>
                                  <w:sz w:val="40"/>
                                  <w:szCs w:val="40"/>
                                </w:rPr>
                              </w:pPr>
                              <w:proofErr w:type="spellStart"/>
                              <w:r w:rsidRPr="005C2EA9">
                                <w:rPr>
                                  <w:b/>
                                  <w:color w:val="FFFFFF"/>
                                  <w:sz w:val="40"/>
                                  <w:szCs w:val="40"/>
                                </w:rPr>
                                <w:t>Perrymount</w:t>
                              </w:r>
                              <w:proofErr w:type="spellEnd"/>
                              <w:r w:rsidRPr="005C2EA9">
                                <w:rPr>
                                  <w:b/>
                                  <w:color w:val="FFFFFF"/>
                                  <w:sz w:val="40"/>
                                  <w:szCs w:val="40"/>
                                </w:rPr>
                                <w:t xml:space="preserve"> Primary School</w:t>
                              </w:r>
                              <w:r>
                                <w:rPr>
                                  <w:b/>
                                  <w:color w:val="FFFFFF"/>
                                  <w:sz w:val="40"/>
                                  <w:szCs w:val="40"/>
                                </w:rPr>
                                <w:t xml:space="preserve">    - Draft</w:t>
                              </w:r>
                            </w:p>
                            <w:p w14:paraId="5BE5308D" w14:textId="0FEABCF6" w:rsidR="00F007A1" w:rsidRPr="005C2EA9" w:rsidRDefault="00F007A1" w:rsidP="005C2EA9">
                              <w:pPr>
                                <w:rPr>
                                  <w:rFonts w:ascii="Arial" w:hAnsi="Arial" w:cs="Arial"/>
                                  <w:color w:val="FFFFFF" w:themeColor="background1"/>
                                  <w:sz w:val="28"/>
                                  <w:szCs w:val="28"/>
                                </w:rPr>
                              </w:pPr>
                              <w:r>
                                <w:rPr>
                                  <w:rFonts w:ascii="Arial" w:hAnsi="Arial" w:cs="Arial"/>
                                  <w:color w:val="FFFFFF" w:themeColor="background1"/>
                                  <w:sz w:val="28"/>
                                  <w:szCs w:val="28"/>
                                </w:rPr>
                                <w:t>PE and Sports Funding for Y</w:t>
                              </w:r>
                              <w:r w:rsidR="0077690D">
                                <w:rPr>
                                  <w:rFonts w:ascii="Arial" w:hAnsi="Arial" w:cs="Arial"/>
                                  <w:color w:val="FFFFFF" w:themeColor="background1"/>
                                  <w:sz w:val="28"/>
                                  <w:szCs w:val="28"/>
                                </w:rPr>
                                <w:t>ear 2022– 2023</w:t>
                              </w:r>
                            </w:p>
                            <w:p w14:paraId="44E337EC" w14:textId="77777777" w:rsidR="00F007A1" w:rsidRDefault="00F007A1">
                              <w:pPr>
                                <w:spacing w:line="315" w:lineRule="exact"/>
                                <w:ind w:left="720"/>
                                <w:rPr>
                                  <w:sz w:val="26"/>
                                </w:rPr>
                              </w:pP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left:885;width:10256;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BBD0E51" w14:textId="77777777" w:rsidR="00F007A1" w:rsidRDefault="00F007A1">
                        <w:pPr>
                          <w:spacing w:line="315" w:lineRule="exact"/>
                          <w:ind w:left="720"/>
                          <w:rPr>
                            <w:b/>
                            <w:color w:val="FFFFFF"/>
                            <w:sz w:val="40"/>
                            <w:szCs w:val="40"/>
                          </w:rPr>
                        </w:pPr>
                      </w:p>
                      <w:p w14:paraId="38421DC8" w14:textId="50E8FE9A" w:rsidR="00F007A1" w:rsidRPr="005C2EA9" w:rsidRDefault="00F007A1">
                        <w:pPr>
                          <w:spacing w:line="315" w:lineRule="exact"/>
                          <w:ind w:left="720"/>
                          <w:rPr>
                            <w:b/>
                            <w:color w:val="FFFFFF"/>
                            <w:sz w:val="40"/>
                            <w:szCs w:val="40"/>
                          </w:rPr>
                        </w:pPr>
                        <w:r w:rsidRPr="005C2EA9">
                          <w:rPr>
                            <w:b/>
                            <w:color w:val="FFFFFF"/>
                            <w:sz w:val="40"/>
                            <w:szCs w:val="40"/>
                          </w:rPr>
                          <w:t>Perrymount Primary School</w:t>
                        </w:r>
                        <w:r>
                          <w:rPr>
                            <w:b/>
                            <w:color w:val="FFFFFF"/>
                            <w:sz w:val="40"/>
                            <w:szCs w:val="40"/>
                          </w:rPr>
                          <w:t xml:space="preserve">    - Draft</w:t>
                        </w:r>
                      </w:p>
                      <w:p w14:paraId="5BE5308D" w14:textId="0FEABCF6" w:rsidR="00F007A1" w:rsidRPr="005C2EA9" w:rsidRDefault="00F007A1" w:rsidP="005C2EA9">
                        <w:pPr>
                          <w:rPr>
                            <w:rFonts w:ascii="Arial" w:hAnsi="Arial" w:cs="Arial"/>
                            <w:color w:val="FFFFFF" w:themeColor="background1"/>
                            <w:sz w:val="28"/>
                            <w:szCs w:val="28"/>
                          </w:rPr>
                        </w:pPr>
                        <w:r>
                          <w:rPr>
                            <w:rFonts w:ascii="Arial" w:hAnsi="Arial" w:cs="Arial"/>
                            <w:color w:val="FFFFFF" w:themeColor="background1"/>
                            <w:sz w:val="28"/>
                            <w:szCs w:val="28"/>
                          </w:rPr>
                          <w:t>PE and Sports Funding for Y</w:t>
                        </w:r>
                        <w:r w:rsidR="0077690D">
                          <w:rPr>
                            <w:rFonts w:ascii="Arial" w:hAnsi="Arial" w:cs="Arial"/>
                            <w:color w:val="FFFFFF" w:themeColor="background1"/>
                            <w:sz w:val="28"/>
                            <w:szCs w:val="28"/>
                          </w:rPr>
                          <w:t>ear 2022– 2023</w:t>
                        </w:r>
                      </w:p>
                      <w:p w14:paraId="44E337EC" w14:textId="77777777" w:rsidR="00F007A1" w:rsidRDefault="00F007A1">
                        <w:pPr>
                          <w:spacing w:line="315" w:lineRule="exact"/>
                          <w:ind w:left="720"/>
                          <w:rPr>
                            <w:sz w:val="26"/>
                          </w:rPr>
                        </w:pP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378"/>
      </w:tblGrid>
      <w:tr w:rsidR="005C2EA9" w14:paraId="275B6479" w14:textId="77777777" w:rsidTr="005C2EA9">
        <w:trPr>
          <w:trHeight w:val="1684"/>
        </w:trPr>
        <w:tc>
          <w:tcPr>
            <w:tcW w:w="15378" w:type="dxa"/>
          </w:tcPr>
          <w:p w14:paraId="2480B605" w14:textId="3EDB058E" w:rsidR="005C2EA9" w:rsidRPr="00C325A2" w:rsidRDefault="005C2EA9" w:rsidP="005C2EA9">
            <w:pPr>
              <w:pStyle w:val="NormalWeb"/>
              <w:spacing w:before="0" w:beforeAutospacing="0" w:after="0" w:afterAutospacing="0" w:line="336" w:lineRule="atLeast"/>
              <w:textAlignment w:val="baseline"/>
              <w:rPr>
                <w:rFonts w:ascii="Arial" w:hAnsi="Arial" w:cs="Arial"/>
              </w:rPr>
            </w:pPr>
            <w:r w:rsidRPr="00C325A2">
              <w:rPr>
                <w:rFonts w:ascii="Arial" w:hAnsi="Arial" w:cs="Arial"/>
              </w:rPr>
              <w:t xml:space="preserve">Physical Education is an integral part of teaching and learning at </w:t>
            </w:r>
            <w:proofErr w:type="spellStart"/>
            <w:r w:rsidRPr="00C325A2">
              <w:rPr>
                <w:rFonts w:ascii="Arial" w:hAnsi="Arial" w:cs="Arial"/>
              </w:rPr>
              <w:t>Perrymount</w:t>
            </w:r>
            <w:proofErr w:type="spellEnd"/>
            <w:r w:rsidRPr="00C325A2">
              <w:rPr>
                <w:rFonts w:ascii="Arial" w:hAnsi="Arial" w:cs="Arial"/>
              </w:rPr>
              <w:t xml:space="preserve"> Primary School. Pupils learn the importance of health and fitness, along with the importance of developing healthy &amp; active lifestyles, through the core areas of Dance, Gymnastics and Games.   Outdoor and Adventurous Activity and Athletics are also taught.</w:t>
            </w:r>
          </w:p>
          <w:p w14:paraId="78D3A824" w14:textId="77777777" w:rsidR="005C2EA9" w:rsidRPr="00C325A2" w:rsidRDefault="005C2EA9" w:rsidP="005C2EA9">
            <w:pPr>
              <w:pStyle w:val="NormalWeb"/>
              <w:spacing w:before="0" w:beforeAutospacing="0" w:after="0" w:afterAutospacing="0" w:line="336" w:lineRule="atLeast"/>
              <w:textAlignment w:val="baseline"/>
              <w:rPr>
                <w:rFonts w:ascii="Arial" w:hAnsi="Arial" w:cs="Arial"/>
              </w:rPr>
            </w:pPr>
            <w:r w:rsidRPr="00C325A2">
              <w:rPr>
                <w:rFonts w:ascii="Arial" w:hAnsi="Arial" w:cs="Arial"/>
              </w:rPr>
              <w:t>All children receive a minimum of 2 hours of P.E. per week.</w:t>
            </w:r>
          </w:p>
          <w:p w14:paraId="6AE67479" w14:textId="4E62CA7A" w:rsidR="005C2EA9" w:rsidRDefault="005C2EA9" w:rsidP="005C2EA9">
            <w:pPr>
              <w:pStyle w:val="NormalWeb"/>
              <w:spacing w:before="0" w:beforeAutospacing="0" w:after="0" w:afterAutospacing="0" w:line="336" w:lineRule="atLeast"/>
              <w:textAlignment w:val="baseline"/>
              <w:rPr>
                <w:rFonts w:ascii="Arial" w:hAnsi="Arial" w:cs="Arial"/>
              </w:rPr>
            </w:pPr>
            <w:r w:rsidRPr="00C325A2">
              <w:rPr>
                <w:rFonts w:ascii="Arial" w:hAnsi="Arial" w:cs="Arial"/>
              </w:rPr>
              <w:t>Swimming is a key feature in the PE curriculum, as it is also a life skill. 2 classes currently take part in swimming lessons annually.</w:t>
            </w:r>
          </w:p>
          <w:p w14:paraId="3EFE8848" w14:textId="77777777" w:rsidR="002126B9" w:rsidRPr="00C325A2" w:rsidRDefault="002126B9" w:rsidP="005C2EA9">
            <w:pPr>
              <w:pStyle w:val="NormalWeb"/>
              <w:spacing w:before="0" w:beforeAutospacing="0" w:after="0" w:afterAutospacing="0" w:line="336" w:lineRule="atLeast"/>
              <w:textAlignment w:val="baseline"/>
              <w:rPr>
                <w:rFonts w:ascii="Arial" w:hAnsi="Arial" w:cs="Arial"/>
              </w:rPr>
            </w:pPr>
          </w:p>
          <w:p w14:paraId="260F287D" w14:textId="77777777" w:rsidR="005C2EA9" w:rsidRPr="00C325A2" w:rsidRDefault="005C2EA9" w:rsidP="005C2EA9">
            <w:pPr>
              <w:pStyle w:val="NormalWeb"/>
              <w:spacing w:before="0" w:beforeAutospacing="0" w:after="0" w:afterAutospacing="0" w:line="336" w:lineRule="atLeast"/>
              <w:textAlignment w:val="baseline"/>
              <w:rPr>
                <w:rFonts w:ascii="Arial" w:hAnsi="Arial" w:cs="Arial"/>
              </w:rPr>
            </w:pPr>
            <w:r w:rsidRPr="00C325A2">
              <w:rPr>
                <w:rFonts w:ascii="Arial" w:hAnsi="Arial" w:cs="Arial"/>
              </w:rPr>
              <w:t>The PE and Sport premium introduced by the government in 2013 (£150 million per year across all schools), is designed to help primary schools improve the quality of the PE and sport activities they offer their pupils by providing additional funding. This funding (which is ring-fenced) is provided jointly by the Departments for Education, Health and Culture, Media and Sport and is being allocated to primary schools across the country.</w:t>
            </w:r>
          </w:p>
          <w:p w14:paraId="2E9117DB" w14:textId="77777777" w:rsidR="005C2EA9" w:rsidRPr="00C325A2" w:rsidRDefault="005C2EA9" w:rsidP="005C2EA9">
            <w:pPr>
              <w:pStyle w:val="NormalWeb"/>
              <w:spacing w:before="0" w:beforeAutospacing="0" w:after="0" w:afterAutospacing="0" w:line="336" w:lineRule="atLeast"/>
              <w:textAlignment w:val="baseline"/>
              <w:rPr>
                <w:rFonts w:ascii="Arial" w:hAnsi="Arial" w:cs="Arial"/>
              </w:rPr>
            </w:pPr>
            <w:r w:rsidRPr="00C325A2">
              <w:rPr>
                <w:rFonts w:ascii="Arial" w:hAnsi="Arial" w:cs="Arial"/>
              </w:rPr>
              <w:t>This premium, which was initially introduced for 3 years, has since been extended and increased due to the continuing need to raise the physical activity of children.</w:t>
            </w:r>
          </w:p>
          <w:p w14:paraId="0F4CFB3D" w14:textId="77777777" w:rsidR="005C2EA9" w:rsidRPr="00C325A2" w:rsidRDefault="005C2EA9" w:rsidP="005C2EA9">
            <w:pPr>
              <w:pStyle w:val="NormalWeb"/>
              <w:spacing w:before="0" w:beforeAutospacing="0" w:after="0" w:afterAutospacing="0" w:line="336" w:lineRule="atLeast"/>
              <w:textAlignment w:val="baseline"/>
              <w:rPr>
                <w:rFonts w:ascii="Arial" w:hAnsi="Arial" w:cs="Arial"/>
              </w:rPr>
            </w:pPr>
            <w:r w:rsidRPr="00C325A2">
              <w:rPr>
                <w:rFonts w:ascii="Arial" w:hAnsi="Arial" w:cs="Arial"/>
              </w:rPr>
              <w:t>The additional premium has allowed the school to continue its involvement in the school sports partnership, which offers competitive sporting opportunities for all age groups.</w:t>
            </w:r>
          </w:p>
          <w:p w14:paraId="174EFC00" w14:textId="3DDAD195" w:rsidR="005C2EA9" w:rsidRPr="00C325A2" w:rsidRDefault="005C2EA9" w:rsidP="005C2EA9">
            <w:pPr>
              <w:pStyle w:val="NormalWeb"/>
              <w:spacing w:before="0" w:beforeAutospacing="0" w:after="0" w:afterAutospacing="0" w:line="336" w:lineRule="atLeast"/>
              <w:textAlignment w:val="baseline"/>
              <w:rPr>
                <w:rFonts w:ascii="Arial" w:hAnsi="Arial" w:cs="Arial"/>
              </w:rPr>
            </w:pPr>
            <w:r w:rsidRPr="00C325A2">
              <w:rPr>
                <w:rFonts w:ascii="Arial" w:hAnsi="Arial" w:cs="Arial"/>
              </w:rPr>
              <w:t>While recognising the impor</w:t>
            </w:r>
            <w:r w:rsidR="002126B9">
              <w:rPr>
                <w:rFonts w:ascii="Arial" w:hAnsi="Arial" w:cs="Arial"/>
              </w:rPr>
              <w:t xml:space="preserve">tance of competitive sport, </w:t>
            </w:r>
            <w:r w:rsidRPr="00C325A2">
              <w:rPr>
                <w:rFonts w:ascii="Arial" w:hAnsi="Arial" w:cs="Arial"/>
              </w:rPr>
              <w:t>emphasis is placed on participation and ensuring that all children have access to a broad and balanced PE curriculum, so hopefully r</w:t>
            </w:r>
            <w:r w:rsidR="002126B9">
              <w:rPr>
                <w:rFonts w:ascii="Arial" w:hAnsi="Arial" w:cs="Arial"/>
              </w:rPr>
              <w:t xml:space="preserve">ecognising the importance of </w:t>
            </w:r>
            <w:r w:rsidRPr="00C325A2">
              <w:rPr>
                <w:rFonts w:ascii="Arial" w:hAnsi="Arial" w:cs="Arial"/>
              </w:rPr>
              <w:t>physical activity while developing lifelong enjoyment of physical activity.</w:t>
            </w:r>
          </w:p>
          <w:p w14:paraId="1509785E" w14:textId="531182E1" w:rsidR="005C2EA9" w:rsidRDefault="005C2EA9" w:rsidP="00EA6182">
            <w:pPr>
              <w:pStyle w:val="TableParagraph"/>
              <w:spacing w:before="21" w:line="278" w:lineRule="exact"/>
              <w:rPr>
                <w:sz w:val="24"/>
              </w:rPr>
            </w:pPr>
          </w:p>
        </w:tc>
      </w:tr>
    </w:tbl>
    <w:p w14:paraId="0264B48F" w14:textId="75659D50" w:rsidR="00C658FB" w:rsidRDefault="00C658FB">
      <w:pPr>
        <w:pStyle w:val="BodyText"/>
        <w:spacing w:before="1"/>
        <w:rPr>
          <w:sz w:val="22"/>
        </w:rPr>
      </w:pPr>
    </w:p>
    <w:p w14:paraId="6C6F8EA4" w14:textId="7EA3DFF1" w:rsidR="00C658FB" w:rsidRDefault="00C658FB">
      <w:pPr>
        <w:pStyle w:val="BodyText"/>
        <w:spacing w:before="4"/>
        <w:rPr>
          <w:sz w:val="17"/>
        </w:rPr>
      </w:pPr>
    </w:p>
    <w:p w14:paraId="6FD3125D" w14:textId="0F7476B2" w:rsidR="005C2EA9" w:rsidRDefault="005C2EA9">
      <w:pPr>
        <w:pStyle w:val="BodyText"/>
        <w:spacing w:before="4"/>
        <w:rPr>
          <w:sz w:val="17"/>
        </w:rPr>
      </w:pPr>
    </w:p>
    <w:p w14:paraId="01FA365A" w14:textId="7703CA32" w:rsidR="005C2EA9" w:rsidRDefault="005C2EA9">
      <w:pPr>
        <w:pStyle w:val="BodyText"/>
        <w:spacing w:before="4"/>
        <w:rPr>
          <w:sz w:val="17"/>
        </w:rPr>
      </w:pPr>
    </w:p>
    <w:p w14:paraId="6770E683" w14:textId="71481437" w:rsidR="005C2EA9" w:rsidRDefault="005C2EA9">
      <w:pPr>
        <w:pStyle w:val="BodyText"/>
        <w:spacing w:before="4"/>
        <w:rPr>
          <w:sz w:val="17"/>
        </w:rPr>
      </w:pPr>
    </w:p>
    <w:p w14:paraId="753C8002" w14:textId="2632F543" w:rsidR="005C2EA9" w:rsidRDefault="005C2EA9">
      <w:pPr>
        <w:pStyle w:val="BodyText"/>
        <w:spacing w:before="4"/>
        <w:rPr>
          <w:sz w:val="17"/>
        </w:rPr>
      </w:pPr>
    </w:p>
    <w:p w14:paraId="0BF7E136" w14:textId="46B4AF09" w:rsidR="005C2EA9" w:rsidRDefault="005C2EA9">
      <w:pPr>
        <w:pStyle w:val="BodyText"/>
        <w:spacing w:before="4"/>
        <w:rPr>
          <w:sz w:val="17"/>
        </w:rPr>
      </w:pPr>
    </w:p>
    <w:p w14:paraId="1CABD7CB" w14:textId="3BBBEA00" w:rsidR="00C656EF" w:rsidRDefault="00C656EF">
      <w:pPr>
        <w:pStyle w:val="BodyText"/>
        <w:spacing w:before="4"/>
        <w:rPr>
          <w:sz w:val="17"/>
        </w:rPr>
      </w:pPr>
    </w:p>
    <w:p w14:paraId="330CDAA4" w14:textId="0F2C9ADA" w:rsidR="00C656EF" w:rsidRDefault="00C656EF">
      <w:pPr>
        <w:pStyle w:val="BodyText"/>
        <w:spacing w:before="4"/>
        <w:rPr>
          <w:sz w:val="17"/>
        </w:rPr>
      </w:pPr>
    </w:p>
    <w:p w14:paraId="3D3D456F" w14:textId="77777777" w:rsidR="00C656EF" w:rsidRDefault="00C656EF">
      <w:pPr>
        <w:pStyle w:val="BodyText"/>
        <w:spacing w:before="4"/>
        <w:rPr>
          <w:sz w:val="17"/>
        </w:rPr>
      </w:pPr>
    </w:p>
    <w:p w14:paraId="4E6887C9" w14:textId="1B2E0AC1" w:rsidR="005C2EA9" w:rsidRDefault="005C2EA9">
      <w:pPr>
        <w:pStyle w:val="BodyText"/>
        <w:spacing w:before="4"/>
        <w:rPr>
          <w:sz w:val="17"/>
        </w:rPr>
      </w:pPr>
    </w:p>
    <w:p w14:paraId="505F54B2" w14:textId="77777777" w:rsidR="005C2EA9" w:rsidRDefault="005C2EA9">
      <w:pPr>
        <w:pStyle w:val="BodyText"/>
        <w:spacing w:before="4"/>
        <w:rPr>
          <w:sz w:val="17"/>
        </w:rPr>
      </w:pPr>
    </w:p>
    <w:p w14:paraId="1C9037C4" w14:textId="63B81C4A" w:rsidR="005C2EA9" w:rsidRDefault="005C2EA9">
      <w:pPr>
        <w:pStyle w:val="BodyText"/>
        <w:spacing w:before="4"/>
        <w:rPr>
          <w:sz w:val="17"/>
        </w:rPr>
      </w:pPr>
    </w:p>
    <w:p w14:paraId="292224AA" w14:textId="77777777" w:rsidR="005C2EA9" w:rsidRDefault="005C2EA9">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5C2EA9" w14:paraId="77F6F896" w14:textId="77777777" w:rsidTr="005C2EA9">
        <w:trPr>
          <w:trHeight w:val="689"/>
        </w:trPr>
        <w:tc>
          <w:tcPr>
            <w:tcW w:w="11582" w:type="dxa"/>
          </w:tcPr>
          <w:p w14:paraId="207D4E13" w14:textId="6327626E" w:rsidR="005C2EA9" w:rsidRPr="006D679D" w:rsidRDefault="005C2EA9">
            <w:pPr>
              <w:pStyle w:val="TableParagraph"/>
              <w:spacing w:before="26" w:line="235" w:lineRule="auto"/>
              <w:rPr>
                <w:b/>
                <w:color w:val="231F20"/>
                <w:sz w:val="24"/>
              </w:rPr>
            </w:pPr>
            <w:r w:rsidRPr="006D679D">
              <w:rPr>
                <w:b/>
                <w:color w:val="231F20"/>
                <w:sz w:val="24"/>
              </w:rPr>
              <w:t>Meeting Natio</w:t>
            </w:r>
            <w:r w:rsidR="0077690D">
              <w:rPr>
                <w:b/>
                <w:color w:val="231F20"/>
                <w:sz w:val="24"/>
              </w:rPr>
              <w:t>nal Curriculum requirements 2022-2023</w:t>
            </w:r>
          </w:p>
        </w:tc>
        <w:tc>
          <w:tcPr>
            <w:tcW w:w="3798" w:type="dxa"/>
          </w:tcPr>
          <w:p w14:paraId="0228F2CB" w14:textId="77777777" w:rsidR="005C2EA9" w:rsidRDefault="005C2EA9">
            <w:pPr>
              <w:pStyle w:val="TableParagraph"/>
              <w:spacing w:before="130"/>
              <w:ind w:left="46"/>
              <w:rPr>
                <w:sz w:val="24"/>
              </w:rPr>
            </w:pPr>
          </w:p>
        </w:tc>
      </w:tr>
      <w:tr w:rsidR="00C658FB" w14:paraId="631DC4ED" w14:textId="77777777" w:rsidTr="005C2EA9">
        <w:trPr>
          <w:trHeight w:val="973"/>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96E5695" w14:textId="1A77BCDF" w:rsidR="00C658FB" w:rsidRDefault="00C658FB">
            <w:pPr>
              <w:pStyle w:val="TableParagraph"/>
              <w:spacing w:line="276" w:lineRule="exact"/>
              <w:rPr>
                <w:sz w:val="24"/>
              </w:rPr>
            </w:pPr>
          </w:p>
        </w:tc>
        <w:tc>
          <w:tcPr>
            <w:tcW w:w="3798" w:type="dxa"/>
          </w:tcPr>
          <w:p w14:paraId="58FC538A" w14:textId="5AEE3164" w:rsidR="00C658FB" w:rsidRPr="002126B9" w:rsidRDefault="00C658FB" w:rsidP="002126B9">
            <w:pPr>
              <w:pStyle w:val="TableParagraph"/>
              <w:spacing w:before="130"/>
              <w:ind w:left="46"/>
              <w:jc w:val="center"/>
              <w:rPr>
                <w:sz w:val="28"/>
                <w:szCs w:val="28"/>
              </w:rPr>
            </w:pP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5E66093D" w:rsidR="00C658FB" w:rsidRDefault="00C658FB">
            <w:pPr>
              <w:pStyle w:val="TableParagraph"/>
              <w:spacing w:line="290" w:lineRule="exact"/>
              <w:rPr>
                <w:sz w:val="24"/>
              </w:rPr>
            </w:pPr>
          </w:p>
        </w:tc>
        <w:tc>
          <w:tcPr>
            <w:tcW w:w="3798" w:type="dxa"/>
          </w:tcPr>
          <w:p w14:paraId="2006F9E0" w14:textId="7EE9A017" w:rsidR="00C658FB" w:rsidRPr="002126B9" w:rsidRDefault="00C658FB" w:rsidP="002126B9">
            <w:pPr>
              <w:pStyle w:val="TableParagraph"/>
              <w:spacing w:before="131"/>
              <w:ind w:left="42"/>
              <w:jc w:val="center"/>
              <w:rPr>
                <w:sz w:val="28"/>
                <w:szCs w:val="28"/>
              </w:rPr>
            </w:pP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63AF9F98" w:rsidR="00C658FB" w:rsidRPr="002126B9" w:rsidRDefault="00C658FB" w:rsidP="002126B9">
            <w:pPr>
              <w:pStyle w:val="TableParagraph"/>
              <w:spacing w:before="41"/>
              <w:ind w:left="36"/>
              <w:jc w:val="center"/>
              <w:rPr>
                <w:sz w:val="28"/>
                <w:szCs w:val="28"/>
              </w:rPr>
            </w:pP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47C337A4" w:rsidR="00C658FB" w:rsidRPr="002126B9" w:rsidRDefault="005C2EA9" w:rsidP="002126B9">
            <w:pPr>
              <w:pStyle w:val="TableParagraph"/>
              <w:spacing w:before="127"/>
              <w:ind w:left="43"/>
              <w:jc w:val="center"/>
              <w:rPr>
                <w:sz w:val="28"/>
                <w:szCs w:val="28"/>
              </w:rPr>
            </w:pPr>
            <w:r w:rsidRPr="002126B9">
              <w:rPr>
                <w:sz w:val="28"/>
                <w:szCs w:val="28"/>
              </w:rPr>
              <w:t>Yes</w:t>
            </w:r>
          </w:p>
        </w:tc>
      </w:tr>
    </w:tbl>
    <w:p w14:paraId="3E59DCD1" w14:textId="50EFA932" w:rsidR="00C658FB" w:rsidRDefault="00C656EF">
      <w:pPr>
        <w:rPr>
          <w:sz w:val="24"/>
        </w:rPr>
        <w:sectPr w:rsidR="00C658FB">
          <w:footerReference w:type="default" r:id="rId8"/>
          <w:pgSz w:w="16840" w:h="11910" w:orient="landscape"/>
          <w:pgMar w:top="720" w:right="220" w:bottom="620" w:left="0" w:header="0" w:footer="438" w:gutter="0"/>
          <w:cols w:space="720"/>
        </w:sectPr>
      </w:pPr>
      <w:r>
        <w:rPr>
          <w:noProof/>
          <w:sz w:val="24"/>
          <w:lang w:eastAsia="en-GB"/>
        </w:rPr>
        <mc:AlternateContent>
          <mc:Choice Requires="wps">
            <w:drawing>
              <wp:anchor distT="0" distB="0" distL="114300" distR="114300" simplePos="0" relativeHeight="251659264" behindDoc="0" locked="0" layoutInCell="1" allowOverlap="1" wp14:anchorId="153AD06A" wp14:editId="1BA3FC31">
                <wp:simplePos x="0" y="0"/>
                <wp:positionH relativeFrom="column">
                  <wp:posOffset>600075</wp:posOffset>
                </wp:positionH>
                <wp:positionV relativeFrom="paragraph">
                  <wp:posOffset>418466</wp:posOffset>
                </wp:positionV>
                <wp:extent cx="9591675" cy="23241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9591675" cy="2324100"/>
                        </a:xfrm>
                        <a:prstGeom prst="rect">
                          <a:avLst/>
                        </a:prstGeom>
                        <a:solidFill>
                          <a:schemeClr val="lt1"/>
                        </a:solidFill>
                        <a:ln w="6350">
                          <a:solidFill>
                            <a:prstClr val="black"/>
                          </a:solidFill>
                        </a:ln>
                      </wps:spPr>
                      <wps:txbx>
                        <w:txbxContent>
                          <w:p w14:paraId="7878D156" w14:textId="5785FBC2" w:rsidR="00F007A1" w:rsidRPr="003863A4" w:rsidRDefault="00F007A1">
                            <w:pPr>
                              <w:rPr>
                                <w:sz w:val="28"/>
                                <w:szCs w:val="28"/>
                              </w:rPr>
                            </w:pPr>
                            <w:r w:rsidRPr="003863A4">
                              <w:rPr>
                                <w:sz w:val="28"/>
                                <w:szCs w:val="28"/>
                              </w:rPr>
                              <w:t xml:space="preserve">There are 5 key indicators that </w:t>
                            </w:r>
                            <w:proofErr w:type="spellStart"/>
                            <w:r w:rsidRPr="003863A4">
                              <w:rPr>
                                <w:sz w:val="28"/>
                                <w:szCs w:val="28"/>
                              </w:rPr>
                              <w:t>Perrymount</w:t>
                            </w:r>
                            <w:proofErr w:type="spellEnd"/>
                            <w:r w:rsidRPr="003863A4">
                              <w:rPr>
                                <w:sz w:val="28"/>
                                <w:szCs w:val="28"/>
                              </w:rPr>
                              <w:t xml:space="preserve"> Primary School aims to address as outlined by the DFE.</w:t>
                            </w:r>
                          </w:p>
                          <w:p w14:paraId="4A1820DC" w14:textId="1AB17A88" w:rsidR="00F007A1" w:rsidRPr="003863A4" w:rsidRDefault="00F007A1">
                            <w:pPr>
                              <w:rPr>
                                <w:sz w:val="28"/>
                                <w:szCs w:val="28"/>
                              </w:rPr>
                            </w:pPr>
                          </w:p>
                          <w:p w14:paraId="25B66862" w14:textId="24ECBFE4" w:rsidR="00F007A1" w:rsidRDefault="00F007A1" w:rsidP="003863A4">
                            <w:pPr>
                              <w:pStyle w:val="ListParagraph"/>
                              <w:numPr>
                                <w:ilvl w:val="0"/>
                                <w:numId w:val="2"/>
                              </w:numPr>
                              <w:rPr>
                                <w:sz w:val="28"/>
                                <w:szCs w:val="28"/>
                              </w:rPr>
                            </w:pPr>
                            <w:r w:rsidRPr="003863A4">
                              <w:rPr>
                                <w:sz w:val="28"/>
                                <w:szCs w:val="28"/>
                              </w:rPr>
                              <w:t xml:space="preserve">The engagement of all pupils in regular physical activity – the guideline is that primary school children should have 60 minutes of physical activity a day – 30 minutes </w:t>
                            </w:r>
                            <w:r>
                              <w:rPr>
                                <w:sz w:val="28"/>
                                <w:szCs w:val="28"/>
                              </w:rPr>
                              <w:t xml:space="preserve">of which </w:t>
                            </w:r>
                            <w:r w:rsidRPr="003863A4">
                              <w:rPr>
                                <w:sz w:val="28"/>
                                <w:szCs w:val="28"/>
                              </w:rPr>
                              <w:t xml:space="preserve">should be in school. </w:t>
                            </w:r>
                          </w:p>
                          <w:p w14:paraId="298A443A" w14:textId="7E37F3E4" w:rsidR="00F007A1" w:rsidRDefault="00F007A1" w:rsidP="003863A4">
                            <w:pPr>
                              <w:pStyle w:val="ListParagraph"/>
                              <w:numPr>
                                <w:ilvl w:val="0"/>
                                <w:numId w:val="2"/>
                              </w:numPr>
                              <w:rPr>
                                <w:sz w:val="28"/>
                                <w:szCs w:val="28"/>
                              </w:rPr>
                            </w:pPr>
                            <w:r>
                              <w:rPr>
                                <w:sz w:val="28"/>
                                <w:szCs w:val="28"/>
                              </w:rPr>
                              <w:t>The profile of PE and sport is raised across the school.</w:t>
                            </w:r>
                          </w:p>
                          <w:p w14:paraId="43AAF58A" w14:textId="314C0A34" w:rsidR="00F007A1" w:rsidRDefault="00F007A1" w:rsidP="003863A4">
                            <w:pPr>
                              <w:pStyle w:val="ListParagraph"/>
                              <w:numPr>
                                <w:ilvl w:val="0"/>
                                <w:numId w:val="2"/>
                              </w:numPr>
                              <w:rPr>
                                <w:sz w:val="28"/>
                                <w:szCs w:val="28"/>
                              </w:rPr>
                            </w:pPr>
                            <w:r>
                              <w:rPr>
                                <w:sz w:val="28"/>
                                <w:szCs w:val="28"/>
                              </w:rPr>
                              <w:t>Increased confidence, knowledge and skills of all staff in teaching PE and sport.</w:t>
                            </w:r>
                          </w:p>
                          <w:p w14:paraId="4D303712" w14:textId="4F9F87F6" w:rsidR="00F007A1" w:rsidRDefault="00F007A1" w:rsidP="003863A4">
                            <w:pPr>
                              <w:pStyle w:val="ListParagraph"/>
                              <w:numPr>
                                <w:ilvl w:val="0"/>
                                <w:numId w:val="2"/>
                              </w:numPr>
                              <w:rPr>
                                <w:sz w:val="28"/>
                                <w:szCs w:val="28"/>
                              </w:rPr>
                            </w:pPr>
                            <w:r>
                              <w:rPr>
                                <w:sz w:val="28"/>
                                <w:szCs w:val="28"/>
                              </w:rPr>
                              <w:t>Broader experience of a range of sports offered to children.</w:t>
                            </w:r>
                          </w:p>
                          <w:p w14:paraId="362FBEC3" w14:textId="021BE677" w:rsidR="00F007A1" w:rsidRPr="003863A4" w:rsidRDefault="00F007A1" w:rsidP="003863A4">
                            <w:pPr>
                              <w:pStyle w:val="ListParagraph"/>
                              <w:numPr>
                                <w:ilvl w:val="0"/>
                                <w:numId w:val="2"/>
                              </w:numPr>
                              <w:rPr>
                                <w:sz w:val="28"/>
                                <w:szCs w:val="28"/>
                              </w:rPr>
                            </w:pPr>
                            <w:r>
                              <w:rPr>
                                <w:sz w:val="28"/>
                                <w:szCs w:val="28"/>
                              </w:rPr>
                              <w:t xml:space="preserve">Increased participation in competitive 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AD06A" id="Text Box 24" o:spid="_x0000_s1029" type="#_x0000_t202" style="position:absolute;margin-left:47.25pt;margin-top:32.95pt;width:755.25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" fillcolor="white [3201]" strokeweight=".5pt">
                <v:textbox>
                  <w:txbxContent>
                    <w:p w14:paraId="7878D156" w14:textId="5785FBC2" w:rsidR="00F007A1" w:rsidRPr="003863A4" w:rsidRDefault="00F007A1">
                      <w:pPr>
                        <w:rPr>
                          <w:sz w:val="28"/>
                          <w:szCs w:val="28"/>
                        </w:rPr>
                      </w:pPr>
                      <w:r w:rsidRPr="003863A4">
                        <w:rPr>
                          <w:sz w:val="28"/>
                          <w:szCs w:val="28"/>
                        </w:rPr>
                        <w:t>There are 5 key indicators that Perrymount Primary School aims to address as outlined by the DFE.</w:t>
                      </w:r>
                    </w:p>
                    <w:p w14:paraId="4A1820DC" w14:textId="1AB17A88" w:rsidR="00F007A1" w:rsidRPr="003863A4" w:rsidRDefault="00F007A1">
                      <w:pPr>
                        <w:rPr>
                          <w:sz w:val="28"/>
                          <w:szCs w:val="28"/>
                        </w:rPr>
                      </w:pPr>
                    </w:p>
                    <w:p w14:paraId="25B66862" w14:textId="24ECBFE4" w:rsidR="00F007A1" w:rsidRDefault="00F007A1" w:rsidP="003863A4">
                      <w:pPr>
                        <w:pStyle w:val="ListParagraph"/>
                        <w:numPr>
                          <w:ilvl w:val="0"/>
                          <w:numId w:val="2"/>
                        </w:numPr>
                        <w:rPr>
                          <w:sz w:val="28"/>
                          <w:szCs w:val="28"/>
                        </w:rPr>
                      </w:pPr>
                      <w:r w:rsidRPr="003863A4">
                        <w:rPr>
                          <w:sz w:val="28"/>
                          <w:szCs w:val="28"/>
                        </w:rPr>
                        <w:t xml:space="preserve">The engagement of all pupils in regular physical activity – the guideline is that primary school children should have 60 minutes of physical activity a day – 30 minutes </w:t>
                      </w:r>
                      <w:r>
                        <w:rPr>
                          <w:sz w:val="28"/>
                          <w:szCs w:val="28"/>
                        </w:rPr>
                        <w:t xml:space="preserve">of which </w:t>
                      </w:r>
                      <w:r w:rsidRPr="003863A4">
                        <w:rPr>
                          <w:sz w:val="28"/>
                          <w:szCs w:val="28"/>
                        </w:rPr>
                        <w:t xml:space="preserve">should be in school. </w:t>
                      </w:r>
                    </w:p>
                    <w:p w14:paraId="298A443A" w14:textId="7E37F3E4" w:rsidR="00F007A1" w:rsidRDefault="00F007A1" w:rsidP="003863A4">
                      <w:pPr>
                        <w:pStyle w:val="ListParagraph"/>
                        <w:numPr>
                          <w:ilvl w:val="0"/>
                          <w:numId w:val="2"/>
                        </w:numPr>
                        <w:rPr>
                          <w:sz w:val="28"/>
                          <w:szCs w:val="28"/>
                        </w:rPr>
                      </w:pPr>
                      <w:r>
                        <w:rPr>
                          <w:sz w:val="28"/>
                          <w:szCs w:val="28"/>
                        </w:rPr>
                        <w:t>The profile of PE and sport is raised across the school.</w:t>
                      </w:r>
                    </w:p>
                    <w:p w14:paraId="43AAF58A" w14:textId="314C0A34" w:rsidR="00F007A1" w:rsidRDefault="00F007A1" w:rsidP="003863A4">
                      <w:pPr>
                        <w:pStyle w:val="ListParagraph"/>
                        <w:numPr>
                          <w:ilvl w:val="0"/>
                          <w:numId w:val="2"/>
                        </w:numPr>
                        <w:rPr>
                          <w:sz w:val="28"/>
                          <w:szCs w:val="28"/>
                        </w:rPr>
                      </w:pPr>
                      <w:r>
                        <w:rPr>
                          <w:sz w:val="28"/>
                          <w:szCs w:val="28"/>
                        </w:rPr>
                        <w:t>Increased confidence, knowledge and skills of all staff in teaching PE and sport.</w:t>
                      </w:r>
                    </w:p>
                    <w:p w14:paraId="4D303712" w14:textId="4F9F87F6" w:rsidR="00F007A1" w:rsidRDefault="00F007A1" w:rsidP="003863A4">
                      <w:pPr>
                        <w:pStyle w:val="ListParagraph"/>
                        <w:numPr>
                          <w:ilvl w:val="0"/>
                          <w:numId w:val="2"/>
                        </w:numPr>
                        <w:rPr>
                          <w:sz w:val="28"/>
                          <w:szCs w:val="28"/>
                        </w:rPr>
                      </w:pPr>
                      <w:r>
                        <w:rPr>
                          <w:sz w:val="28"/>
                          <w:szCs w:val="28"/>
                        </w:rPr>
                        <w:t>Broader experience of a range of sports offered to children.</w:t>
                      </w:r>
                    </w:p>
                    <w:p w14:paraId="362FBEC3" w14:textId="021BE677" w:rsidR="00F007A1" w:rsidRPr="003863A4" w:rsidRDefault="00F007A1" w:rsidP="003863A4">
                      <w:pPr>
                        <w:pStyle w:val="ListParagraph"/>
                        <w:numPr>
                          <w:ilvl w:val="0"/>
                          <w:numId w:val="2"/>
                        </w:numPr>
                        <w:rPr>
                          <w:sz w:val="28"/>
                          <w:szCs w:val="28"/>
                        </w:rPr>
                      </w:pPr>
                      <w:r>
                        <w:rPr>
                          <w:sz w:val="28"/>
                          <w:szCs w:val="28"/>
                        </w:rPr>
                        <w:t xml:space="preserve">Increased participation in competitive sport. </w:t>
                      </w:r>
                    </w:p>
                  </w:txbxContent>
                </v:textbox>
              </v:shape>
            </w:pict>
          </mc:Fallback>
        </mc:AlternateContent>
      </w:r>
    </w:p>
    <w:p w14:paraId="1879269A" w14:textId="2522E4EA" w:rsidR="00C658FB" w:rsidRDefault="00C658FB">
      <w:pPr>
        <w:pStyle w:val="BodyText"/>
        <w:rPr>
          <w:sz w:val="20"/>
        </w:rPr>
      </w:pP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17A14AC4" w:rsidR="00C658FB" w:rsidRDefault="00D131A0" w:rsidP="001564B9">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1564B9">
              <w:t>2022-23</w:t>
            </w:r>
          </w:p>
        </w:tc>
        <w:tc>
          <w:tcPr>
            <w:tcW w:w="3600" w:type="dxa"/>
          </w:tcPr>
          <w:p w14:paraId="3EADDAA7" w14:textId="1F1CBD91"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D29F2">
              <w:rPr>
                <w:b/>
                <w:color w:val="231F20"/>
                <w:sz w:val="24"/>
              </w:rPr>
              <w:t xml:space="preserve"> £17,56</w:t>
            </w:r>
            <w:r w:rsidR="005C2EA9">
              <w:rPr>
                <w:b/>
                <w:color w:val="231F20"/>
                <w:sz w:val="24"/>
              </w:rPr>
              <w:t>0</w:t>
            </w:r>
          </w:p>
        </w:tc>
        <w:tc>
          <w:tcPr>
            <w:tcW w:w="4923" w:type="dxa"/>
            <w:gridSpan w:val="2"/>
          </w:tcPr>
          <w:p w14:paraId="2EAA04A6" w14:textId="6A968222" w:rsidR="00C658FB" w:rsidRDefault="00D131A0" w:rsidP="0077690D">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5C2EA9">
              <w:rPr>
                <w:b/>
                <w:color w:val="231F20"/>
                <w:sz w:val="24"/>
              </w:rPr>
              <w:t xml:space="preserve"> </w:t>
            </w:r>
            <w:r w:rsidR="0077690D">
              <w:rPr>
                <w:b/>
                <w:color w:val="231F20"/>
                <w:sz w:val="24"/>
              </w:rPr>
              <w:t xml:space="preserve">November </w:t>
            </w:r>
            <w:r w:rsidR="00DC6D73">
              <w:rPr>
                <w:b/>
                <w:color w:val="231F20"/>
                <w:sz w:val="24"/>
              </w:rPr>
              <w:t>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5C2EA9" w14:paraId="3ADC35AA" w14:textId="77777777" w:rsidTr="005C2EA9">
        <w:trPr>
          <w:trHeight w:val="684"/>
        </w:trPr>
        <w:tc>
          <w:tcPr>
            <w:tcW w:w="15377" w:type="dxa"/>
            <w:gridSpan w:val="5"/>
          </w:tcPr>
          <w:p w14:paraId="1DA41592" w14:textId="6AE99A08" w:rsidR="005C2EA9" w:rsidRDefault="005C2EA9">
            <w:pPr>
              <w:pStyle w:val="TableParagraph"/>
              <w:spacing w:before="41" w:line="272" w:lineRule="exact"/>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r>
      <w:tr w:rsidR="00C658FB" w14:paraId="0CD7ED33" w14:textId="77777777" w:rsidTr="00C656EF">
        <w:trPr>
          <w:trHeight w:val="839"/>
        </w:trPr>
        <w:tc>
          <w:tcPr>
            <w:tcW w:w="3720" w:type="dxa"/>
          </w:tcPr>
          <w:p w14:paraId="339197E9" w14:textId="042320D9" w:rsidR="00C658FB" w:rsidRDefault="00C656EF">
            <w:pPr>
              <w:pStyle w:val="TableParagraph"/>
              <w:spacing w:line="256" w:lineRule="exact"/>
              <w:ind w:left="79"/>
              <w:rPr>
                <w:sz w:val="24"/>
              </w:rPr>
            </w:pPr>
            <w:r>
              <w:rPr>
                <w:color w:val="231F20"/>
                <w:sz w:val="24"/>
              </w:rPr>
              <w:t>School focus – impact on pupils</w:t>
            </w:r>
          </w:p>
        </w:tc>
        <w:tc>
          <w:tcPr>
            <w:tcW w:w="3600" w:type="dxa"/>
          </w:tcPr>
          <w:p w14:paraId="737D997D" w14:textId="62A48273" w:rsidR="00C658FB" w:rsidRDefault="00C656EF" w:rsidP="00C656EF">
            <w:pPr>
              <w:pStyle w:val="TableParagraph"/>
              <w:spacing w:before="46" w:line="235" w:lineRule="auto"/>
              <w:ind w:right="171"/>
              <w:rPr>
                <w:sz w:val="24"/>
              </w:rPr>
            </w:pPr>
            <w:r>
              <w:rPr>
                <w:color w:val="231F20"/>
                <w:sz w:val="24"/>
              </w:rPr>
              <w:t>A</w:t>
            </w:r>
            <w:r w:rsidR="00D131A0">
              <w:rPr>
                <w:color w:val="231F20"/>
                <w:sz w:val="24"/>
              </w:rPr>
              <w:t>ctions</w:t>
            </w:r>
            <w:r w:rsidR="00D131A0">
              <w:rPr>
                <w:color w:val="231F20"/>
                <w:spacing w:val="-7"/>
                <w:sz w:val="24"/>
              </w:rPr>
              <w:t xml:space="preserve"> </w:t>
            </w:r>
            <w:r w:rsidR="00D131A0">
              <w:rPr>
                <w:color w:val="231F20"/>
                <w:sz w:val="24"/>
              </w:rPr>
              <w:t>to</w:t>
            </w:r>
            <w:r w:rsidR="00D131A0">
              <w:rPr>
                <w:color w:val="231F20"/>
                <w:spacing w:val="-6"/>
                <w:sz w:val="24"/>
              </w:rPr>
              <w:t xml:space="preserve"> </w:t>
            </w:r>
            <w:r w:rsidR="00D131A0">
              <w:rPr>
                <w:color w:val="231F20"/>
                <w:sz w:val="24"/>
              </w:rPr>
              <w:t>achieve</w:t>
            </w:r>
            <w:r w:rsidR="00D131A0">
              <w:rPr>
                <w:color w:val="231F20"/>
                <w:spacing w:val="-51"/>
                <w:sz w:val="24"/>
              </w:rPr>
              <w:t xml:space="preserve"> </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018A200" w:rsidR="00C658FB" w:rsidRDefault="00D131A0" w:rsidP="00C656EF">
            <w:pPr>
              <w:pStyle w:val="TableParagraph"/>
              <w:spacing w:before="46" w:line="235" w:lineRule="auto"/>
              <w:ind w:right="436"/>
              <w:rPr>
                <w:sz w:val="24"/>
              </w:rPr>
            </w:pPr>
            <w:r>
              <w:rPr>
                <w:color w:val="231F20"/>
                <w:sz w:val="24"/>
              </w:rPr>
              <w:t>Evidence</w:t>
            </w:r>
            <w:r>
              <w:rPr>
                <w:color w:val="231F20"/>
                <w:spacing w:val="-5"/>
                <w:sz w:val="24"/>
              </w:rPr>
              <w:t xml:space="preserve"> </w:t>
            </w:r>
            <w:proofErr w:type="gramStart"/>
            <w:r w:rsidR="00C656EF">
              <w:rPr>
                <w:color w:val="231F20"/>
                <w:sz w:val="24"/>
              </w:rPr>
              <w:t xml:space="preserve">and </w:t>
            </w:r>
            <w:r>
              <w:rPr>
                <w:color w:val="231F20"/>
                <w:spacing w:val="-5"/>
                <w:sz w:val="24"/>
              </w:rPr>
              <w:t xml:space="preserve"> </w:t>
            </w:r>
            <w:r w:rsidR="00C656EF">
              <w:rPr>
                <w:color w:val="231F20"/>
                <w:sz w:val="24"/>
              </w:rPr>
              <w:t>impact</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2927596A" w14:textId="2A6DEF16" w:rsidR="00C658FB" w:rsidRPr="002126B9" w:rsidRDefault="003863A4" w:rsidP="003863A4">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Timetabled PE lessons</w:t>
            </w:r>
          </w:p>
          <w:p w14:paraId="5679EBDE" w14:textId="4DECED70" w:rsidR="003863A4" w:rsidRPr="002126B9" w:rsidRDefault="003863A4" w:rsidP="003863A4">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 xml:space="preserve">Timetabled use of Church cage to develop football skills. </w:t>
            </w:r>
          </w:p>
          <w:p w14:paraId="12E196D3" w14:textId="695B0956" w:rsidR="003863A4" w:rsidRPr="002126B9" w:rsidRDefault="003863A4" w:rsidP="003863A4">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Active playtimes – increase play equipment to encourage fitness.</w:t>
            </w:r>
          </w:p>
          <w:p w14:paraId="00AC178E" w14:textId="5C2D31CF" w:rsidR="003863A4" w:rsidRDefault="003863A4" w:rsidP="002126B9">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PE coach one lunchtime per week to encourage participation in sporting activities.</w:t>
            </w:r>
          </w:p>
          <w:p w14:paraId="4CDCAB23" w14:textId="4C2140D2" w:rsidR="001564B9" w:rsidRDefault="001564B9" w:rsidP="002126B9">
            <w:pPr>
              <w:pStyle w:val="Table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PE coach one breakfast time each week to encourage participation in sporting activities. </w:t>
            </w:r>
            <w:r w:rsidR="00F007A1">
              <w:rPr>
                <w:rFonts w:asciiTheme="minorHAnsi" w:hAnsiTheme="minorHAnsi" w:cstheme="minorHAnsi"/>
                <w:sz w:val="20"/>
                <w:szCs w:val="20"/>
              </w:rPr>
              <w:t>Spring term</w:t>
            </w:r>
          </w:p>
          <w:p w14:paraId="4BE55369" w14:textId="1C730A28" w:rsidR="00F007A1" w:rsidRPr="00F007A1" w:rsidRDefault="00F007A1" w:rsidP="00F007A1">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To go for silver School games mark 2022 -23</w:t>
            </w:r>
            <w:r>
              <w:rPr>
                <w:rFonts w:asciiTheme="minorHAnsi" w:hAnsiTheme="minorHAnsi" w:cstheme="minorHAnsi"/>
                <w:sz w:val="20"/>
                <w:szCs w:val="20"/>
              </w:rPr>
              <w:t xml:space="preserve"> – summer term</w:t>
            </w:r>
          </w:p>
          <w:p w14:paraId="52B362C4" w14:textId="337A94D2" w:rsidR="002126B9" w:rsidRPr="002126B9" w:rsidRDefault="002126B9" w:rsidP="002126B9">
            <w:pPr>
              <w:pStyle w:val="TableParagraph"/>
              <w:ind w:left="720"/>
              <w:rPr>
                <w:rFonts w:asciiTheme="minorHAnsi" w:hAnsiTheme="minorHAnsi" w:cstheme="minorHAnsi"/>
                <w:sz w:val="20"/>
                <w:szCs w:val="20"/>
              </w:rPr>
            </w:pPr>
          </w:p>
        </w:tc>
        <w:tc>
          <w:tcPr>
            <w:tcW w:w="3600" w:type="dxa"/>
            <w:tcBorders>
              <w:bottom w:val="single" w:sz="12" w:space="0" w:color="231F20"/>
            </w:tcBorders>
          </w:tcPr>
          <w:p w14:paraId="4ED1C2DB" w14:textId="2A7D4CE9" w:rsidR="00C658FB" w:rsidRPr="002126B9" w:rsidRDefault="003863A4" w:rsidP="00FC21E0">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Funding of resources for a range of sports and activities</w:t>
            </w:r>
          </w:p>
          <w:p w14:paraId="0BDB36B0" w14:textId="77777777" w:rsidR="003863A4" w:rsidRPr="002126B9" w:rsidRDefault="003863A4" w:rsidP="00FC21E0">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Funding of lunchtime coach</w:t>
            </w:r>
          </w:p>
          <w:p w14:paraId="46E0DD9B" w14:textId="31032EFE" w:rsidR="00FC21E0" w:rsidRPr="002126B9" w:rsidRDefault="00FC21E0" w:rsidP="00FC21E0">
            <w:pPr>
              <w:pStyle w:val="TableParagraph"/>
              <w:numPr>
                <w:ilvl w:val="0"/>
                <w:numId w:val="3"/>
              </w:numPr>
              <w:rPr>
                <w:rFonts w:asciiTheme="minorHAnsi" w:hAnsiTheme="minorHAnsi" w:cstheme="minorHAnsi"/>
                <w:sz w:val="20"/>
                <w:szCs w:val="20"/>
              </w:rPr>
            </w:pPr>
            <w:r w:rsidRPr="002126B9">
              <w:rPr>
                <w:rFonts w:asciiTheme="minorHAnsi" w:hAnsiTheme="minorHAnsi" w:cstheme="minorHAnsi"/>
                <w:sz w:val="20"/>
                <w:szCs w:val="20"/>
              </w:rPr>
              <w:t xml:space="preserve">Removal of barriers in playground so children have more space to run. </w:t>
            </w:r>
          </w:p>
        </w:tc>
        <w:tc>
          <w:tcPr>
            <w:tcW w:w="1616" w:type="dxa"/>
            <w:tcBorders>
              <w:bottom w:val="single" w:sz="12" w:space="0" w:color="231F20"/>
            </w:tcBorders>
          </w:tcPr>
          <w:p w14:paraId="3BA26C6F" w14:textId="5B567F90" w:rsidR="00C658FB" w:rsidRPr="002126B9" w:rsidRDefault="001564B9" w:rsidP="001564B9">
            <w:pPr>
              <w:pStyle w:val="TableParagraph"/>
              <w:spacing w:before="160"/>
              <w:ind w:left="34"/>
              <w:jc w:val="center"/>
              <w:rPr>
                <w:rFonts w:asciiTheme="minorHAnsi" w:hAnsiTheme="minorHAnsi" w:cstheme="minorHAnsi"/>
                <w:sz w:val="20"/>
                <w:szCs w:val="20"/>
              </w:rPr>
            </w:pPr>
            <w:r>
              <w:rPr>
                <w:rFonts w:asciiTheme="minorHAnsi" w:hAnsiTheme="minorHAnsi" w:cstheme="minorHAnsi"/>
                <w:sz w:val="20"/>
                <w:szCs w:val="20"/>
              </w:rPr>
              <w:t>£5000</w:t>
            </w:r>
          </w:p>
        </w:tc>
        <w:tc>
          <w:tcPr>
            <w:tcW w:w="3307" w:type="dxa"/>
            <w:tcBorders>
              <w:bottom w:val="single" w:sz="12" w:space="0" w:color="231F20"/>
            </w:tcBorders>
          </w:tcPr>
          <w:p w14:paraId="6126B218" w14:textId="5864FBDC" w:rsidR="00FC21E0" w:rsidRPr="002126B9" w:rsidRDefault="00FC21E0">
            <w:pPr>
              <w:pStyle w:val="TableParagraph"/>
              <w:ind w:left="0"/>
              <w:rPr>
                <w:rFonts w:asciiTheme="minorHAnsi" w:hAnsiTheme="minorHAnsi" w:cstheme="minorHAnsi"/>
                <w:sz w:val="20"/>
                <w:szCs w:val="20"/>
              </w:rPr>
            </w:pPr>
          </w:p>
        </w:tc>
        <w:tc>
          <w:tcPr>
            <w:tcW w:w="3134" w:type="dxa"/>
            <w:tcBorders>
              <w:bottom w:val="single" w:sz="12" w:space="0" w:color="231F20"/>
            </w:tcBorders>
          </w:tcPr>
          <w:p w14:paraId="248B1F68" w14:textId="21B4BD27" w:rsidR="00B70972" w:rsidRPr="002126B9" w:rsidRDefault="00B70972" w:rsidP="00F007A1">
            <w:pPr>
              <w:pStyle w:val="TableParagraph"/>
              <w:ind w:left="0"/>
              <w:rPr>
                <w:rFonts w:asciiTheme="minorHAnsi" w:hAnsiTheme="minorHAnsi" w:cstheme="minorHAnsi"/>
                <w:sz w:val="20"/>
                <w:szCs w:val="20"/>
              </w:rPr>
            </w:pPr>
          </w:p>
        </w:tc>
      </w:tr>
    </w:tbl>
    <w:p w14:paraId="52874178" w14:textId="77777777" w:rsidR="00AA6A42" w:rsidRDefault="00AA6A42"/>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6EF" w14:paraId="2BA42078" w14:textId="77777777" w:rsidTr="00C656EF">
        <w:trPr>
          <w:trHeight w:val="665"/>
        </w:trPr>
        <w:tc>
          <w:tcPr>
            <w:tcW w:w="15377" w:type="dxa"/>
            <w:gridSpan w:val="5"/>
            <w:tcBorders>
              <w:top w:val="single" w:sz="12" w:space="0" w:color="231F20"/>
            </w:tcBorders>
          </w:tcPr>
          <w:p w14:paraId="76656A18" w14:textId="26C4DA3E" w:rsidR="00C656EF" w:rsidRDefault="00C656EF" w:rsidP="00C656EF">
            <w:pPr>
              <w:pStyle w:val="TableParagraph"/>
              <w:spacing w:before="45" w:line="255" w:lineRule="exact"/>
              <w:ind w:left="39"/>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r>
      <w:tr w:rsidR="00C656EF" w14:paraId="688D6100" w14:textId="77777777" w:rsidTr="00C656EF">
        <w:trPr>
          <w:trHeight w:val="688"/>
        </w:trPr>
        <w:tc>
          <w:tcPr>
            <w:tcW w:w="3720" w:type="dxa"/>
          </w:tcPr>
          <w:p w14:paraId="7D4D4E3D" w14:textId="16969A6D" w:rsidR="00C656EF" w:rsidRDefault="00C656EF" w:rsidP="00C656EF">
            <w:pPr>
              <w:pStyle w:val="TableParagraph"/>
              <w:spacing w:line="256" w:lineRule="exact"/>
              <w:ind w:left="79"/>
              <w:rPr>
                <w:sz w:val="24"/>
              </w:rPr>
            </w:pPr>
            <w:r>
              <w:rPr>
                <w:color w:val="231F20"/>
                <w:sz w:val="24"/>
              </w:rPr>
              <w:t>School focus – impact on pupils</w:t>
            </w:r>
          </w:p>
        </w:tc>
        <w:tc>
          <w:tcPr>
            <w:tcW w:w="3600" w:type="dxa"/>
          </w:tcPr>
          <w:p w14:paraId="19BF6ED4" w14:textId="2AAF0AE3" w:rsidR="00C656EF" w:rsidRDefault="00C656EF" w:rsidP="00C656EF">
            <w:pPr>
              <w:pStyle w:val="TableParagraph"/>
              <w:spacing w:before="46" w:line="235" w:lineRule="auto"/>
              <w:ind w:right="171"/>
              <w:rPr>
                <w:sz w:val="24"/>
              </w:rPr>
            </w:pP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p>
        </w:tc>
        <w:tc>
          <w:tcPr>
            <w:tcW w:w="1616" w:type="dxa"/>
          </w:tcPr>
          <w:p w14:paraId="600B6772" w14:textId="18415E4A" w:rsidR="00C656EF" w:rsidRDefault="00C656EF" w:rsidP="00C656EF">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1ECAFCB9" w:rsidR="00C656EF" w:rsidRDefault="00C656EF" w:rsidP="00C656EF">
            <w:pPr>
              <w:pStyle w:val="TableParagraph"/>
              <w:spacing w:before="46" w:line="235" w:lineRule="auto"/>
              <w:ind w:right="436"/>
              <w:rPr>
                <w:sz w:val="24"/>
              </w:rPr>
            </w:pPr>
            <w:r>
              <w:rPr>
                <w:color w:val="231F20"/>
                <w:sz w:val="24"/>
              </w:rPr>
              <w:t>Evidence</w:t>
            </w:r>
            <w:r>
              <w:rPr>
                <w:color w:val="231F20"/>
                <w:spacing w:val="-5"/>
                <w:sz w:val="24"/>
              </w:rPr>
              <w:t xml:space="preserve"> </w:t>
            </w:r>
            <w:proofErr w:type="gramStart"/>
            <w:r>
              <w:rPr>
                <w:color w:val="231F20"/>
                <w:sz w:val="24"/>
              </w:rPr>
              <w:t xml:space="preserve">and </w:t>
            </w:r>
            <w:r>
              <w:rPr>
                <w:color w:val="231F20"/>
                <w:spacing w:val="-5"/>
                <w:sz w:val="24"/>
              </w:rPr>
              <w:t xml:space="preserve"> </w:t>
            </w:r>
            <w:r>
              <w:rPr>
                <w:color w:val="231F20"/>
                <w:sz w:val="24"/>
              </w:rPr>
              <w:t>impact</w:t>
            </w:r>
            <w:proofErr w:type="gramEnd"/>
          </w:p>
        </w:tc>
        <w:tc>
          <w:tcPr>
            <w:tcW w:w="3134" w:type="dxa"/>
          </w:tcPr>
          <w:p w14:paraId="17887215" w14:textId="6C4E15C1" w:rsidR="00C656EF" w:rsidRDefault="00C656EF" w:rsidP="00C656EF">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007A1" w14:paraId="5E88C340" w14:textId="77777777">
        <w:trPr>
          <w:trHeight w:val="1690"/>
        </w:trPr>
        <w:tc>
          <w:tcPr>
            <w:tcW w:w="3720" w:type="dxa"/>
          </w:tcPr>
          <w:p w14:paraId="35FF4074" w14:textId="48BAA81F" w:rsidR="00F007A1" w:rsidRPr="00AA6A42"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t xml:space="preserve">Purchase of PE homework scheme equipment to </w:t>
            </w:r>
            <w:r>
              <w:rPr>
                <w:rFonts w:asciiTheme="minorHAnsi" w:hAnsiTheme="minorHAnsi" w:cstheme="minorHAnsi"/>
                <w:sz w:val="20"/>
                <w:szCs w:val="20"/>
              </w:rPr>
              <w:t xml:space="preserve">keep sacks maintained. </w:t>
            </w:r>
            <w:r w:rsidRPr="00AA6A42">
              <w:rPr>
                <w:rFonts w:asciiTheme="minorHAnsi" w:hAnsiTheme="minorHAnsi" w:cstheme="minorHAnsi"/>
                <w:sz w:val="20"/>
                <w:szCs w:val="20"/>
              </w:rPr>
              <w:t xml:space="preserve"> </w:t>
            </w:r>
          </w:p>
          <w:p w14:paraId="24F245F8" w14:textId="249A2C8F" w:rsidR="00F007A1" w:rsidRPr="001564B9"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t xml:space="preserve">To attend competitions where available – Lewisham sports </w:t>
            </w:r>
            <w:proofErr w:type="gramStart"/>
            <w:r w:rsidRPr="00AA6A42">
              <w:rPr>
                <w:rFonts w:asciiTheme="minorHAnsi" w:hAnsiTheme="minorHAnsi" w:cstheme="minorHAnsi"/>
                <w:sz w:val="20"/>
                <w:szCs w:val="20"/>
              </w:rPr>
              <w:t>partnership?</w:t>
            </w:r>
            <w:r w:rsidRPr="001564B9">
              <w:rPr>
                <w:rFonts w:asciiTheme="minorHAnsi" w:hAnsiTheme="minorHAnsi" w:cstheme="minorHAnsi"/>
                <w:sz w:val="20"/>
                <w:szCs w:val="20"/>
              </w:rPr>
              <w:t>.</w:t>
            </w:r>
            <w:proofErr w:type="gramEnd"/>
            <w:r w:rsidRPr="001564B9">
              <w:rPr>
                <w:rFonts w:asciiTheme="minorHAnsi" w:hAnsiTheme="minorHAnsi" w:cstheme="minorHAnsi"/>
                <w:sz w:val="20"/>
                <w:szCs w:val="20"/>
              </w:rPr>
              <w:t xml:space="preserve"> </w:t>
            </w:r>
          </w:p>
          <w:p w14:paraId="6BE751FE" w14:textId="14958C39" w:rsidR="00F007A1"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t>To provide additional swimming classes to ensure pupils meet NC requirements</w:t>
            </w:r>
            <w:r>
              <w:rPr>
                <w:rFonts w:asciiTheme="minorHAnsi" w:hAnsiTheme="minorHAnsi" w:cstheme="minorHAnsi"/>
                <w:sz w:val="20"/>
                <w:szCs w:val="20"/>
              </w:rPr>
              <w:t xml:space="preserve"> Y6</w:t>
            </w:r>
          </w:p>
          <w:p w14:paraId="48313121" w14:textId="03DF8366" w:rsidR="00F007A1" w:rsidRPr="00AA6A42" w:rsidRDefault="00F007A1" w:rsidP="00F007A1">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To run intra school competitions to encourage physical activity. </w:t>
            </w:r>
          </w:p>
          <w:p w14:paraId="3055F801" w14:textId="6ED26730" w:rsidR="00F007A1" w:rsidRPr="00AA6A42"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lastRenderedPageBreak/>
              <w:t xml:space="preserve">To organise hydro pool for those children who cannot access public swimming pool. </w:t>
            </w:r>
          </w:p>
          <w:p w14:paraId="28439863" w14:textId="15858759" w:rsidR="00F007A1" w:rsidRPr="00AA6A42"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t>Sports coach to organise sports day</w:t>
            </w:r>
            <w:r>
              <w:rPr>
                <w:rFonts w:asciiTheme="minorHAnsi" w:hAnsiTheme="minorHAnsi" w:cstheme="minorHAnsi"/>
                <w:sz w:val="20"/>
                <w:szCs w:val="20"/>
              </w:rPr>
              <w:t xml:space="preserve"> in summer </w:t>
            </w:r>
            <w:proofErr w:type="gramStart"/>
            <w:r>
              <w:rPr>
                <w:rFonts w:asciiTheme="minorHAnsi" w:hAnsiTheme="minorHAnsi" w:cstheme="minorHAnsi"/>
                <w:sz w:val="20"/>
                <w:szCs w:val="20"/>
              </w:rPr>
              <w:t xml:space="preserve">term </w:t>
            </w:r>
            <w:r w:rsidRPr="00AA6A42">
              <w:rPr>
                <w:rFonts w:asciiTheme="minorHAnsi" w:hAnsiTheme="minorHAnsi" w:cstheme="minorHAnsi"/>
                <w:sz w:val="20"/>
                <w:szCs w:val="20"/>
              </w:rPr>
              <w:t xml:space="preserve"> </w:t>
            </w:r>
            <w:r>
              <w:rPr>
                <w:rFonts w:asciiTheme="minorHAnsi" w:hAnsiTheme="minorHAnsi" w:cstheme="minorHAnsi"/>
                <w:sz w:val="20"/>
                <w:szCs w:val="20"/>
              </w:rPr>
              <w:t>to</w:t>
            </w:r>
            <w:proofErr w:type="gramEnd"/>
            <w:r>
              <w:rPr>
                <w:rFonts w:asciiTheme="minorHAnsi" w:hAnsiTheme="minorHAnsi" w:cstheme="minorHAnsi"/>
                <w:sz w:val="20"/>
                <w:szCs w:val="20"/>
              </w:rPr>
              <w:t xml:space="preserve"> be held in  </w:t>
            </w:r>
            <w:proofErr w:type="spellStart"/>
            <w:r>
              <w:rPr>
                <w:rFonts w:asciiTheme="minorHAnsi" w:hAnsiTheme="minorHAnsi" w:cstheme="minorHAnsi"/>
                <w:sz w:val="20"/>
                <w:szCs w:val="20"/>
              </w:rPr>
              <w:t>Mayow</w:t>
            </w:r>
            <w:proofErr w:type="spellEnd"/>
            <w:r>
              <w:rPr>
                <w:rFonts w:asciiTheme="minorHAnsi" w:hAnsiTheme="minorHAnsi" w:cstheme="minorHAnsi"/>
                <w:sz w:val="20"/>
                <w:szCs w:val="20"/>
              </w:rPr>
              <w:t xml:space="preserve"> Park so further distances can be run. </w:t>
            </w:r>
          </w:p>
          <w:p w14:paraId="12CF20E2" w14:textId="5A5C76BA" w:rsidR="00F007A1" w:rsidRPr="00AA6A42" w:rsidRDefault="00F007A1" w:rsidP="00F007A1">
            <w:pPr>
              <w:pStyle w:val="TableParagraph"/>
              <w:rPr>
                <w:rFonts w:asciiTheme="minorHAnsi" w:hAnsiTheme="minorHAnsi" w:cstheme="minorHAnsi"/>
                <w:sz w:val="20"/>
                <w:szCs w:val="20"/>
              </w:rPr>
            </w:pPr>
          </w:p>
        </w:tc>
        <w:tc>
          <w:tcPr>
            <w:tcW w:w="3600" w:type="dxa"/>
          </w:tcPr>
          <w:p w14:paraId="03DF33C9" w14:textId="77777777" w:rsidR="00F007A1" w:rsidRPr="00AA6A42"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lastRenderedPageBreak/>
              <w:t>Scheme in place and being used in all classes.</w:t>
            </w:r>
          </w:p>
          <w:p w14:paraId="538CE2F0" w14:textId="77777777" w:rsidR="00F007A1" w:rsidRPr="00AA6A42"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t>Fundraising activities and just give page for minibus.</w:t>
            </w:r>
          </w:p>
          <w:p w14:paraId="4DAFA763" w14:textId="4A91B55C" w:rsidR="00F007A1" w:rsidRPr="00AA6A42"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t xml:space="preserve">Book lessons for Years 4, 5 and 6 at Forest Hill pools two classes are catch up due to COVID. </w:t>
            </w:r>
          </w:p>
          <w:p w14:paraId="52E75D24" w14:textId="4583F0E3" w:rsidR="00F007A1" w:rsidRPr="00AA6A42" w:rsidRDefault="00F007A1" w:rsidP="00F007A1">
            <w:pPr>
              <w:pStyle w:val="TableParagraph"/>
              <w:numPr>
                <w:ilvl w:val="0"/>
                <w:numId w:val="5"/>
              </w:numPr>
              <w:rPr>
                <w:rFonts w:asciiTheme="minorHAnsi" w:hAnsiTheme="minorHAnsi" w:cstheme="minorHAnsi"/>
                <w:sz w:val="20"/>
                <w:szCs w:val="20"/>
              </w:rPr>
            </w:pPr>
            <w:r w:rsidRPr="00AA6A42">
              <w:rPr>
                <w:rFonts w:asciiTheme="minorHAnsi" w:hAnsiTheme="minorHAnsi" w:cstheme="minorHAnsi"/>
                <w:sz w:val="20"/>
                <w:szCs w:val="20"/>
              </w:rPr>
              <w:t xml:space="preserve">Sports partnership </w:t>
            </w:r>
            <w:r>
              <w:rPr>
                <w:rFonts w:asciiTheme="minorHAnsi" w:hAnsiTheme="minorHAnsi" w:cstheme="minorHAnsi"/>
                <w:sz w:val="20"/>
                <w:szCs w:val="20"/>
              </w:rPr>
              <w:t xml:space="preserve">+ equipment for inter school competitions. </w:t>
            </w:r>
          </w:p>
          <w:p w14:paraId="2F2D3673" w14:textId="0D3DBD58" w:rsidR="00F007A1" w:rsidRPr="00AA6A42" w:rsidRDefault="00F007A1" w:rsidP="00F007A1">
            <w:pPr>
              <w:pStyle w:val="TableParagraph"/>
              <w:ind w:left="420"/>
              <w:rPr>
                <w:rFonts w:asciiTheme="minorHAnsi" w:hAnsiTheme="minorHAnsi" w:cstheme="minorHAnsi"/>
                <w:sz w:val="20"/>
                <w:szCs w:val="20"/>
              </w:rPr>
            </w:pPr>
          </w:p>
        </w:tc>
        <w:tc>
          <w:tcPr>
            <w:tcW w:w="1616" w:type="dxa"/>
          </w:tcPr>
          <w:p w14:paraId="5B42C356" w14:textId="31E7C44B" w:rsidR="00F007A1" w:rsidRPr="00AA6A42" w:rsidRDefault="00F007A1" w:rsidP="00F007A1">
            <w:pPr>
              <w:pStyle w:val="TableParagraph"/>
              <w:spacing w:before="171"/>
              <w:ind w:left="45"/>
              <w:jc w:val="center"/>
              <w:rPr>
                <w:sz w:val="20"/>
                <w:szCs w:val="20"/>
              </w:rPr>
            </w:pPr>
            <w:r w:rsidRPr="00AA6A42">
              <w:rPr>
                <w:sz w:val="20"/>
                <w:szCs w:val="20"/>
              </w:rPr>
              <w:t>£</w:t>
            </w:r>
            <w:r>
              <w:rPr>
                <w:sz w:val="20"/>
                <w:szCs w:val="20"/>
              </w:rPr>
              <w:t xml:space="preserve"> 5</w:t>
            </w:r>
            <w:r w:rsidRPr="00AA6A42">
              <w:rPr>
                <w:sz w:val="20"/>
                <w:szCs w:val="20"/>
              </w:rPr>
              <w:t>00</w:t>
            </w:r>
          </w:p>
          <w:p w14:paraId="379F8FD9" w14:textId="77777777" w:rsidR="00F007A1" w:rsidRPr="00AA6A42" w:rsidRDefault="00F007A1" w:rsidP="00F007A1">
            <w:pPr>
              <w:pStyle w:val="TableParagraph"/>
              <w:spacing w:before="171"/>
              <w:ind w:left="45"/>
              <w:jc w:val="center"/>
              <w:rPr>
                <w:sz w:val="20"/>
                <w:szCs w:val="20"/>
              </w:rPr>
            </w:pPr>
          </w:p>
          <w:p w14:paraId="525638D0" w14:textId="77777777" w:rsidR="00F007A1" w:rsidRPr="00AA6A42" w:rsidRDefault="00F007A1" w:rsidP="00F007A1">
            <w:pPr>
              <w:pStyle w:val="TableParagraph"/>
              <w:spacing w:before="171"/>
              <w:ind w:left="45"/>
              <w:jc w:val="center"/>
              <w:rPr>
                <w:sz w:val="20"/>
                <w:szCs w:val="20"/>
              </w:rPr>
            </w:pPr>
            <w:r w:rsidRPr="00AA6A42">
              <w:rPr>
                <w:sz w:val="20"/>
                <w:szCs w:val="20"/>
              </w:rPr>
              <w:t>£4500</w:t>
            </w:r>
          </w:p>
          <w:p w14:paraId="19889715" w14:textId="77777777" w:rsidR="00F007A1" w:rsidRPr="00AA6A42" w:rsidRDefault="00F007A1" w:rsidP="00F007A1">
            <w:pPr>
              <w:pStyle w:val="TableParagraph"/>
              <w:spacing w:before="171"/>
              <w:ind w:left="45"/>
              <w:jc w:val="center"/>
              <w:rPr>
                <w:sz w:val="20"/>
                <w:szCs w:val="20"/>
              </w:rPr>
            </w:pPr>
          </w:p>
          <w:p w14:paraId="748EA407" w14:textId="000CFC75" w:rsidR="00F007A1" w:rsidRDefault="00F007A1" w:rsidP="00F007A1">
            <w:pPr>
              <w:pStyle w:val="TableParagraph"/>
              <w:spacing w:before="171"/>
              <w:ind w:left="45"/>
              <w:jc w:val="center"/>
              <w:rPr>
                <w:sz w:val="24"/>
              </w:rPr>
            </w:pPr>
            <w:r w:rsidRPr="00AA6A42">
              <w:rPr>
                <w:sz w:val="20"/>
                <w:szCs w:val="20"/>
              </w:rPr>
              <w:t>£</w:t>
            </w:r>
            <w:r>
              <w:rPr>
                <w:sz w:val="20"/>
                <w:szCs w:val="20"/>
              </w:rPr>
              <w:t>2000</w:t>
            </w:r>
          </w:p>
        </w:tc>
        <w:tc>
          <w:tcPr>
            <w:tcW w:w="3307" w:type="dxa"/>
          </w:tcPr>
          <w:p w14:paraId="1F37A0F9" w14:textId="1B614072" w:rsidR="00F007A1" w:rsidRPr="00AA6A42" w:rsidRDefault="00F007A1" w:rsidP="00F007A1">
            <w:pPr>
              <w:pStyle w:val="TableParagraph"/>
              <w:rPr>
                <w:rFonts w:asciiTheme="minorHAnsi" w:hAnsiTheme="minorHAnsi" w:cstheme="minorHAnsi"/>
                <w:sz w:val="20"/>
                <w:szCs w:val="20"/>
              </w:rPr>
            </w:pPr>
          </w:p>
        </w:tc>
        <w:tc>
          <w:tcPr>
            <w:tcW w:w="3134" w:type="dxa"/>
          </w:tcPr>
          <w:p w14:paraId="09D96028" w14:textId="7192CEC5" w:rsidR="00F007A1" w:rsidRPr="00AA6A42" w:rsidRDefault="00F007A1" w:rsidP="00F007A1">
            <w:pPr>
              <w:pStyle w:val="TableParagraph"/>
              <w:ind w:left="0"/>
              <w:rPr>
                <w:rFonts w:asciiTheme="minorHAnsi" w:hAnsiTheme="minorHAnsi" w:cstheme="minorHAnsi"/>
                <w:sz w:val="20"/>
                <w:szCs w:val="20"/>
              </w:rPr>
            </w:pPr>
            <w:r w:rsidRPr="00AA6A42">
              <w:rPr>
                <w:rFonts w:asciiTheme="minorHAnsi" w:hAnsiTheme="minorHAnsi" w:cstheme="minorHAnsi"/>
                <w:sz w:val="20"/>
                <w:szCs w:val="20"/>
              </w:rPr>
              <w:t xml:space="preserve"> </w:t>
            </w:r>
          </w:p>
          <w:p w14:paraId="342730D2" w14:textId="3EA6291D" w:rsidR="00F007A1" w:rsidRPr="00AA6A42" w:rsidRDefault="00F007A1" w:rsidP="00F007A1">
            <w:pPr>
              <w:pStyle w:val="TableParagraph"/>
              <w:ind w:left="0"/>
              <w:rPr>
                <w:rFonts w:asciiTheme="minorHAnsi" w:hAnsiTheme="minorHAnsi" w:cstheme="minorHAnsi"/>
                <w:sz w:val="20"/>
                <w:szCs w:val="20"/>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786"/>
        <w:gridCol w:w="3544"/>
        <w:gridCol w:w="1559"/>
        <w:gridCol w:w="3402"/>
        <w:gridCol w:w="3569"/>
      </w:tblGrid>
      <w:tr w:rsidR="00C656EF" w14:paraId="2422B140" w14:textId="77777777" w:rsidTr="00CF74FE">
        <w:trPr>
          <w:trHeight w:val="694"/>
        </w:trPr>
        <w:tc>
          <w:tcPr>
            <w:tcW w:w="0" w:type="auto"/>
            <w:gridSpan w:val="5"/>
          </w:tcPr>
          <w:p w14:paraId="452E8149" w14:textId="75755D5F" w:rsidR="00C656EF" w:rsidRDefault="00C656EF">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r>
      <w:tr w:rsidR="00C656EF" w14:paraId="7EDD0AB7" w14:textId="77777777" w:rsidTr="00AB1A85">
        <w:trPr>
          <w:trHeight w:val="334"/>
        </w:trPr>
        <w:tc>
          <w:tcPr>
            <w:tcW w:w="3786" w:type="dxa"/>
            <w:tcBorders>
              <w:bottom w:val="nil"/>
            </w:tcBorders>
          </w:tcPr>
          <w:p w14:paraId="15B21B5B" w14:textId="344482FD" w:rsidR="00C656EF" w:rsidRDefault="00C656EF" w:rsidP="00C656EF">
            <w:pPr>
              <w:pStyle w:val="TableParagraph"/>
              <w:spacing w:before="16"/>
              <w:rPr>
                <w:sz w:val="24"/>
              </w:rPr>
            </w:pPr>
            <w:r>
              <w:rPr>
                <w:color w:val="231F20"/>
                <w:sz w:val="24"/>
              </w:rPr>
              <w:t>School focus – impact on pupils</w:t>
            </w:r>
          </w:p>
        </w:tc>
        <w:tc>
          <w:tcPr>
            <w:tcW w:w="3544" w:type="dxa"/>
            <w:tcBorders>
              <w:bottom w:val="nil"/>
            </w:tcBorders>
          </w:tcPr>
          <w:p w14:paraId="6CD02861" w14:textId="436203BE" w:rsidR="00C656EF" w:rsidRDefault="00C656EF" w:rsidP="00C656EF">
            <w:pPr>
              <w:pStyle w:val="TableParagraph"/>
              <w:spacing w:before="16"/>
              <w:rPr>
                <w:sz w:val="24"/>
              </w:rPr>
            </w:pP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p>
        </w:tc>
        <w:tc>
          <w:tcPr>
            <w:tcW w:w="1559" w:type="dxa"/>
            <w:tcBorders>
              <w:bottom w:val="nil"/>
            </w:tcBorders>
          </w:tcPr>
          <w:p w14:paraId="08AA0588" w14:textId="22367614" w:rsidR="00C656EF" w:rsidRDefault="00C656EF" w:rsidP="00C656EF">
            <w:pPr>
              <w:pStyle w:val="TableParagraph"/>
              <w:spacing w:before="16"/>
              <w:rPr>
                <w:sz w:val="24"/>
              </w:rPr>
            </w:pPr>
            <w:r>
              <w:rPr>
                <w:color w:val="231F20"/>
                <w:sz w:val="24"/>
              </w:rPr>
              <w:t>Funding</w:t>
            </w:r>
            <w:r>
              <w:rPr>
                <w:color w:val="231F20"/>
                <w:spacing w:val="1"/>
                <w:sz w:val="24"/>
              </w:rPr>
              <w:t xml:space="preserve"> </w:t>
            </w:r>
            <w:r>
              <w:rPr>
                <w:color w:val="231F20"/>
                <w:spacing w:val="-1"/>
                <w:sz w:val="24"/>
              </w:rPr>
              <w:t>allocated:</w:t>
            </w:r>
          </w:p>
        </w:tc>
        <w:tc>
          <w:tcPr>
            <w:tcW w:w="3402" w:type="dxa"/>
            <w:tcBorders>
              <w:bottom w:val="nil"/>
            </w:tcBorders>
          </w:tcPr>
          <w:p w14:paraId="7DA2E248" w14:textId="1E5C9FE1" w:rsidR="00C656EF" w:rsidRDefault="00C656EF" w:rsidP="00C656EF">
            <w:pPr>
              <w:pStyle w:val="TableParagraph"/>
              <w:spacing w:before="16"/>
              <w:rPr>
                <w:sz w:val="24"/>
              </w:rPr>
            </w:pPr>
            <w:r>
              <w:rPr>
                <w:color w:val="231F20"/>
                <w:sz w:val="24"/>
              </w:rPr>
              <w:t>Evidence</w:t>
            </w:r>
            <w:r>
              <w:rPr>
                <w:color w:val="231F20"/>
                <w:spacing w:val="-5"/>
                <w:sz w:val="24"/>
              </w:rPr>
              <w:t xml:space="preserve"> </w:t>
            </w:r>
            <w:proofErr w:type="gramStart"/>
            <w:r>
              <w:rPr>
                <w:color w:val="231F20"/>
                <w:sz w:val="24"/>
              </w:rPr>
              <w:t xml:space="preserve">and </w:t>
            </w:r>
            <w:r>
              <w:rPr>
                <w:color w:val="231F20"/>
                <w:spacing w:val="-5"/>
                <w:sz w:val="24"/>
              </w:rPr>
              <w:t xml:space="preserve"> </w:t>
            </w:r>
            <w:r>
              <w:rPr>
                <w:color w:val="231F20"/>
                <w:sz w:val="24"/>
              </w:rPr>
              <w:t>impact</w:t>
            </w:r>
            <w:proofErr w:type="gramEnd"/>
          </w:p>
        </w:tc>
        <w:tc>
          <w:tcPr>
            <w:tcW w:w="3569" w:type="dxa"/>
            <w:tcBorders>
              <w:bottom w:val="nil"/>
            </w:tcBorders>
          </w:tcPr>
          <w:p w14:paraId="6CCFE6FB" w14:textId="626E4092" w:rsidR="00C656EF" w:rsidRDefault="00C656EF" w:rsidP="00C656EF">
            <w:pPr>
              <w:pStyle w:val="TableParagraph"/>
              <w:spacing w:before="16"/>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6EF" w14:paraId="662D384F" w14:textId="77777777" w:rsidTr="00AB1A85">
        <w:trPr>
          <w:trHeight w:val="1339"/>
        </w:trPr>
        <w:tc>
          <w:tcPr>
            <w:tcW w:w="3786" w:type="dxa"/>
          </w:tcPr>
          <w:p w14:paraId="2D99A4F1" w14:textId="57C3742E" w:rsidR="00575CFA" w:rsidRDefault="00F72CB4" w:rsidP="001564B9">
            <w:pPr>
              <w:pStyle w:val="TableParagraph"/>
              <w:ind w:left="0"/>
              <w:rPr>
                <w:rFonts w:asciiTheme="minorHAnsi" w:hAnsiTheme="minorHAnsi" w:cstheme="minorHAnsi"/>
                <w:sz w:val="20"/>
                <w:szCs w:val="20"/>
              </w:rPr>
            </w:pPr>
            <w:r w:rsidRPr="00AA6A42">
              <w:rPr>
                <w:rFonts w:asciiTheme="minorHAnsi" w:hAnsiTheme="minorHAnsi" w:cstheme="minorHAnsi"/>
                <w:sz w:val="20"/>
                <w:szCs w:val="20"/>
              </w:rPr>
              <w:t xml:space="preserve">Staff to receive training on </w:t>
            </w:r>
            <w:r w:rsidR="00575CFA">
              <w:rPr>
                <w:rFonts w:asciiTheme="minorHAnsi" w:hAnsiTheme="minorHAnsi" w:cstheme="minorHAnsi"/>
                <w:sz w:val="20"/>
                <w:szCs w:val="20"/>
              </w:rPr>
              <w:t>using large apparatus and inclusive sports equipment</w:t>
            </w:r>
          </w:p>
          <w:p w14:paraId="71592E5C" w14:textId="77777777" w:rsidR="001564B9" w:rsidRDefault="001564B9" w:rsidP="001564B9">
            <w:pPr>
              <w:pStyle w:val="TableParagraph"/>
              <w:ind w:left="0"/>
              <w:rPr>
                <w:rFonts w:asciiTheme="minorHAnsi" w:hAnsiTheme="minorHAnsi" w:cstheme="minorHAnsi"/>
                <w:sz w:val="20"/>
                <w:szCs w:val="20"/>
              </w:rPr>
            </w:pPr>
          </w:p>
          <w:p w14:paraId="0D11B3FB" w14:textId="6ECC6F04" w:rsidR="00575CFA" w:rsidRPr="00AA6A42" w:rsidRDefault="00575CFA" w:rsidP="00575CFA">
            <w:pPr>
              <w:pStyle w:val="TableParagraph"/>
              <w:ind w:left="0"/>
              <w:rPr>
                <w:rFonts w:asciiTheme="minorHAnsi" w:hAnsiTheme="minorHAnsi" w:cstheme="minorHAnsi"/>
                <w:sz w:val="20"/>
                <w:szCs w:val="20"/>
              </w:rPr>
            </w:pPr>
            <w:r>
              <w:rPr>
                <w:rFonts w:asciiTheme="minorHAnsi" w:hAnsiTheme="minorHAnsi" w:cstheme="minorHAnsi"/>
                <w:sz w:val="20"/>
                <w:szCs w:val="20"/>
              </w:rPr>
              <w:t>To apply for silver stage of School Games Mark</w:t>
            </w:r>
          </w:p>
        </w:tc>
        <w:tc>
          <w:tcPr>
            <w:tcW w:w="3544" w:type="dxa"/>
          </w:tcPr>
          <w:p w14:paraId="7B325329" w14:textId="79B412F3" w:rsidR="0092002B" w:rsidRPr="00AA6A42" w:rsidRDefault="0092002B" w:rsidP="00C656EF">
            <w:pPr>
              <w:pStyle w:val="TableParagraph"/>
              <w:ind w:left="0"/>
              <w:rPr>
                <w:rFonts w:asciiTheme="minorHAnsi" w:hAnsiTheme="minorHAnsi" w:cstheme="minorHAnsi"/>
                <w:sz w:val="20"/>
                <w:szCs w:val="20"/>
              </w:rPr>
            </w:pPr>
            <w:r w:rsidRPr="00AA6A42">
              <w:rPr>
                <w:rFonts w:asciiTheme="minorHAnsi" w:hAnsiTheme="minorHAnsi" w:cstheme="minorHAnsi"/>
                <w:sz w:val="20"/>
                <w:szCs w:val="20"/>
              </w:rPr>
              <w:t>Staff CPD both internal and external</w:t>
            </w:r>
          </w:p>
        </w:tc>
        <w:tc>
          <w:tcPr>
            <w:tcW w:w="1559" w:type="dxa"/>
          </w:tcPr>
          <w:p w14:paraId="54AD47D3" w14:textId="6A7DDD18" w:rsidR="0092002B" w:rsidRDefault="001564B9" w:rsidP="00AA6A42">
            <w:pPr>
              <w:pStyle w:val="TableParagraph"/>
              <w:spacing w:before="138"/>
              <w:ind w:left="53"/>
              <w:jc w:val="center"/>
              <w:rPr>
                <w:sz w:val="24"/>
              </w:rPr>
            </w:pPr>
            <w:r>
              <w:rPr>
                <w:sz w:val="20"/>
                <w:szCs w:val="20"/>
              </w:rPr>
              <w:t>£500</w:t>
            </w:r>
          </w:p>
        </w:tc>
        <w:tc>
          <w:tcPr>
            <w:tcW w:w="3402" w:type="dxa"/>
          </w:tcPr>
          <w:p w14:paraId="16A95447" w14:textId="6D31DA27" w:rsidR="00F72CB4" w:rsidRPr="00AA6A42" w:rsidRDefault="00F72CB4" w:rsidP="0092002B">
            <w:pPr>
              <w:pStyle w:val="TableParagraph"/>
              <w:ind w:left="0"/>
              <w:rPr>
                <w:rFonts w:asciiTheme="minorHAnsi" w:hAnsiTheme="minorHAnsi" w:cstheme="minorHAnsi"/>
                <w:sz w:val="20"/>
                <w:szCs w:val="20"/>
              </w:rPr>
            </w:pPr>
          </w:p>
        </w:tc>
        <w:tc>
          <w:tcPr>
            <w:tcW w:w="3569" w:type="dxa"/>
          </w:tcPr>
          <w:p w14:paraId="7912ED79" w14:textId="7CF20EE1" w:rsidR="00C656EF" w:rsidRPr="00AA6A42" w:rsidRDefault="00C656EF" w:rsidP="00C656EF">
            <w:pPr>
              <w:pStyle w:val="TableParagraph"/>
              <w:ind w:left="0"/>
              <w:rPr>
                <w:rFonts w:asciiTheme="minorHAnsi" w:hAnsiTheme="minorHAnsi" w:cstheme="minorHAnsi"/>
                <w:sz w:val="20"/>
                <w:szCs w:val="20"/>
              </w:rPr>
            </w:pPr>
          </w:p>
        </w:tc>
      </w:tr>
    </w:tbl>
    <w:p w14:paraId="0DB1AF9F" w14:textId="77777777" w:rsidR="00AA6A42" w:rsidRDefault="00AA6A42"/>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645"/>
        <w:gridCol w:w="3685"/>
        <w:gridCol w:w="1559"/>
        <w:gridCol w:w="3402"/>
        <w:gridCol w:w="3569"/>
      </w:tblGrid>
      <w:tr w:rsidR="00C656EF" w14:paraId="4B04ED96" w14:textId="77777777" w:rsidTr="00AA6A42">
        <w:trPr>
          <w:trHeight w:val="630"/>
        </w:trPr>
        <w:tc>
          <w:tcPr>
            <w:tcW w:w="15860" w:type="dxa"/>
            <w:gridSpan w:val="5"/>
          </w:tcPr>
          <w:p w14:paraId="062B6D18" w14:textId="5CD8A180" w:rsidR="00C656EF" w:rsidRDefault="00C656EF" w:rsidP="00C656EF">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r>
      <w:tr w:rsidR="00C656EF" w14:paraId="6A904295" w14:textId="77777777" w:rsidTr="00AB1A85">
        <w:trPr>
          <w:trHeight w:val="334"/>
        </w:trPr>
        <w:tc>
          <w:tcPr>
            <w:tcW w:w="3645" w:type="dxa"/>
            <w:tcBorders>
              <w:bottom w:val="nil"/>
            </w:tcBorders>
          </w:tcPr>
          <w:p w14:paraId="48676369" w14:textId="00EE7499" w:rsidR="00C656EF" w:rsidRDefault="00C656EF" w:rsidP="00C656EF">
            <w:pPr>
              <w:pStyle w:val="TableParagraph"/>
              <w:spacing w:before="16"/>
              <w:rPr>
                <w:sz w:val="24"/>
              </w:rPr>
            </w:pPr>
            <w:r>
              <w:rPr>
                <w:color w:val="231F20"/>
                <w:sz w:val="24"/>
              </w:rPr>
              <w:t>School focus – impact on pupils</w:t>
            </w:r>
          </w:p>
        </w:tc>
        <w:tc>
          <w:tcPr>
            <w:tcW w:w="3685" w:type="dxa"/>
            <w:tcBorders>
              <w:bottom w:val="nil"/>
            </w:tcBorders>
          </w:tcPr>
          <w:p w14:paraId="415D92E7" w14:textId="56FBBCE4" w:rsidR="00C656EF" w:rsidRDefault="00C656EF" w:rsidP="00C656EF">
            <w:pPr>
              <w:pStyle w:val="TableParagraph"/>
              <w:spacing w:before="16"/>
              <w:rPr>
                <w:sz w:val="24"/>
              </w:rPr>
            </w:pP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p>
        </w:tc>
        <w:tc>
          <w:tcPr>
            <w:tcW w:w="1559" w:type="dxa"/>
            <w:tcBorders>
              <w:bottom w:val="nil"/>
            </w:tcBorders>
          </w:tcPr>
          <w:p w14:paraId="3DD98701" w14:textId="128A5039" w:rsidR="00C656EF" w:rsidRDefault="00C656EF" w:rsidP="00C656EF">
            <w:pPr>
              <w:pStyle w:val="TableParagraph"/>
              <w:spacing w:before="16"/>
              <w:rPr>
                <w:sz w:val="24"/>
              </w:rPr>
            </w:pPr>
            <w:r>
              <w:rPr>
                <w:color w:val="231F20"/>
                <w:sz w:val="24"/>
              </w:rPr>
              <w:t>Funding</w:t>
            </w:r>
            <w:r>
              <w:rPr>
                <w:color w:val="231F20"/>
                <w:spacing w:val="1"/>
                <w:sz w:val="24"/>
              </w:rPr>
              <w:t xml:space="preserve"> </w:t>
            </w:r>
            <w:r>
              <w:rPr>
                <w:color w:val="231F20"/>
                <w:spacing w:val="-1"/>
                <w:sz w:val="24"/>
              </w:rPr>
              <w:t>allocated:</w:t>
            </w:r>
          </w:p>
        </w:tc>
        <w:tc>
          <w:tcPr>
            <w:tcW w:w="3402" w:type="dxa"/>
            <w:tcBorders>
              <w:bottom w:val="nil"/>
            </w:tcBorders>
          </w:tcPr>
          <w:p w14:paraId="5D1CF818" w14:textId="5F344E08" w:rsidR="00C656EF" w:rsidRDefault="00C656EF" w:rsidP="00C656EF">
            <w:pPr>
              <w:pStyle w:val="TableParagraph"/>
              <w:spacing w:before="16"/>
              <w:rPr>
                <w:sz w:val="24"/>
              </w:rPr>
            </w:pPr>
            <w:r>
              <w:rPr>
                <w:color w:val="231F20"/>
                <w:sz w:val="24"/>
              </w:rPr>
              <w:t>Evidence</w:t>
            </w:r>
            <w:r>
              <w:rPr>
                <w:color w:val="231F20"/>
                <w:spacing w:val="-5"/>
                <w:sz w:val="24"/>
              </w:rPr>
              <w:t xml:space="preserve"> </w:t>
            </w:r>
            <w:proofErr w:type="gramStart"/>
            <w:r>
              <w:rPr>
                <w:color w:val="231F20"/>
                <w:sz w:val="24"/>
              </w:rPr>
              <w:t xml:space="preserve">and </w:t>
            </w:r>
            <w:r>
              <w:rPr>
                <w:color w:val="231F20"/>
                <w:spacing w:val="-5"/>
                <w:sz w:val="24"/>
              </w:rPr>
              <w:t xml:space="preserve"> </w:t>
            </w:r>
            <w:r>
              <w:rPr>
                <w:color w:val="231F20"/>
                <w:sz w:val="24"/>
              </w:rPr>
              <w:t>impact</w:t>
            </w:r>
            <w:proofErr w:type="gramEnd"/>
          </w:p>
        </w:tc>
        <w:tc>
          <w:tcPr>
            <w:tcW w:w="3569" w:type="dxa"/>
            <w:tcBorders>
              <w:bottom w:val="nil"/>
            </w:tcBorders>
          </w:tcPr>
          <w:p w14:paraId="3B669C8B" w14:textId="74A27300" w:rsidR="00C656EF" w:rsidRDefault="00C656EF" w:rsidP="00C656EF">
            <w:pPr>
              <w:pStyle w:val="TableParagraph"/>
              <w:spacing w:before="16"/>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6EF" w14:paraId="0AEF5F6C" w14:textId="77777777" w:rsidTr="00AB1A85">
        <w:trPr>
          <w:trHeight w:val="2172"/>
        </w:trPr>
        <w:tc>
          <w:tcPr>
            <w:tcW w:w="3645" w:type="dxa"/>
          </w:tcPr>
          <w:p w14:paraId="3A43464B" w14:textId="54542258" w:rsidR="00C656EF" w:rsidRPr="00AA6A42" w:rsidRDefault="0092002B" w:rsidP="00C656EF">
            <w:pPr>
              <w:pStyle w:val="TableParagraph"/>
              <w:spacing w:before="149"/>
              <w:ind w:left="66"/>
              <w:rPr>
                <w:rFonts w:asciiTheme="minorHAnsi" w:hAnsiTheme="minorHAnsi" w:cstheme="minorHAnsi"/>
                <w:sz w:val="20"/>
                <w:szCs w:val="20"/>
              </w:rPr>
            </w:pPr>
            <w:r w:rsidRPr="00AA6A42">
              <w:rPr>
                <w:rFonts w:asciiTheme="minorHAnsi" w:hAnsiTheme="minorHAnsi" w:cstheme="minorHAnsi"/>
                <w:sz w:val="20"/>
                <w:szCs w:val="20"/>
              </w:rPr>
              <w:t xml:space="preserve">Purchase of new PE stock – to both replace and </w:t>
            </w:r>
            <w:r w:rsidR="00F007A1">
              <w:rPr>
                <w:rFonts w:asciiTheme="minorHAnsi" w:hAnsiTheme="minorHAnsi" w:cstheme="minorHAnsi"/>
                <w:sz w:val="20"/>
                <w:szCs w:val="20"/>
              </w:rPr>
              <w:t xml:space="preserve">improve </w:t>
            </w:r>
            <w:r w:rsidRPr="00AA6A42">
              <w:rPr>
                <w:rFonts w:asciiTheme="minorHAnsi" w:hAnsiTheme="minorHAnsi" w:cstheme="minorHAnsi"/>
                <w:sz w:val="20"/>
                <w:szCs w:val="20"/>
              </w:rPr>
              <w:t xml:space="preserve"> </w:t>
            </w:r>
          </w:p>
          <w:p w14:paraId="00A4C022" w14:textId="77777777" w:rsidR="0092002B" w:rsidRPr="00AA6A42" w:rsidRDefault="0092002B" w:rsidP="00C656EF">
            <w:pPr>
              <w:pStyle w:val="TableParagraph"/>
              <w:spacing w:before="149"/>
              <w:ind w:left="66"/>
              <w:rPr>
                <w:rFonts w:asciiTheme="minorHAnsi" w:hAnsiTheme="minorHAnsi" w:cstheme="minorHAnsi"/>
                <w:sz w:val="20"/>
                <w:szCs w:val="20"/>
              </w:rPr>
            </w:pPr>
            <w:r w:rsidRPr="00AA6A42">
              <w:rPr>
                <w:rFonts w:asciiTheme="minorHAnsi" w:hAnsiTheme="minorHAnsi" w:cstheme="minorHAnsi"/>
                <w:sz w:val="20"/>
                <w:szCs w:val="20"/>
              </w:rPr>
              <w:t>Range of diverse after school clubs on offer to increase awareness of different sports.</w:t>
            </w:r>
          </w:p>
          <w:p w14:paraId="10613E9A" w14:textId="77777777" w:rsidR="0092002B" w:rsidRPr="00AA6A42" w:rsidRDefault="0092002B" w:rsidP="00C656EF">
            <w:pPr>
              <w:pStyle w:val="TableParagraph"/>
              <w:spacing w:before="149"/>
              <w:ind w:left="66"/>
              <w:rPr>
                <w:rFonts w:asciiTheme="minorHAnsi" w:hAnsiTheme="minorHAnsi" w:cstheme="minorHAnsi"/>
                <w:sz w:val="20"/>
                <w:szCs w:val="20"/>
              </w:rPr>
            </w:pPr>
            <w:r w:rsidRPr="00AA6A42">
              <w:rPr>
                <w:rFonts w:asciiTheme="minorHAnsi" w:hAnsiTheme="minorHAnsi" w:cstheme="minorHAnsi"/>
                <w:sz w:val="20"/>
                <w:szCs w:val="20"/>
              </w:rPr>
              <w:t xml:space="preserve">Free places on ASC for disadvantaged and targeted children. </w:t>
            </w:r>
          </w:p>
          <w:p w14:paraId="1F5F29B9" w14:textId="3742F5DE" w:rsidR="0092002B" w:rsidRPr="00AA6A42" w:rsidRDefault="0092002B" w:rsidP="00C656EF">
            <w:pPr>
              <w:pStyle w:val="TableParagraph"/>
              <w:spacing w:before="149"/>
              <w:ind w:left="66"/>
              <w:rPr>
                <w:rFonts w:asciiTheme="minorHAnsi" w:hAnsiTheme="minorHAnsi" w:cstheme="minorHAnsi"/>
                <w:sz w:val="20"/>
                <w:szCs w:val="20"/>
              </w:rPr>
            </w:pPr>
            <w:r w:rsidRPr="00AA6A42">
              <w:rPr>
                <w:rFonts w:asciiTheme="minorHAnsi" w:hAnsiTheme="minorHAnsi" w:cstheme="minorHAnsi"/>
                <w:sz w:val="20"/>
                <w:szCs w:val="20"/>
              </w:rPr>
              <w:t xml:space="preserve">Access cricket coaching for year 4 and take part in cricket tournament. </w:t>
            </w:r>
          </w:p>
        </w:tc>
        <w:tc>
          <w:tcPr>
            <w:tcW w:w="3685" w:type="dxa"/>
          </w:tcPr>
          <w:p w14:paraId="22827445" w14:textId="77777777" w:rsidR="00C656EF" w:rsidRPr="00AA6A42" w:rsidRDefault="008579C6" w:rsidP="00C656EF">
            <w:pPr>
              <w:pStyle w:val="TableParagraph"/>
              <w:ind w:left="0"/>
              <w:rPr>
                <w:rFonts w:asciiTheme="minorHAnsi" w:hAnsiTheme="minorHAnsi" w:cstheme="minorHAnsi"/>
                <w:sz w:val="20"/>
                <w:szCs w:val="20"/>
              </w:rPr>
            </w:pPr>
            <w:r w:rsidRPr="00AA6A42">
              <w:rPr>
                <w:rFonts w:asciiTheme="minorHAnsi" w:hAnsiTheme="minorHAnsi" w:cstheme="minorHAnsi"/>
                <w:sz w:val="20"/>
                <w:szCs w:val="20"/>
              </w:rPr>
              <w:t>Stock purchased</w:t>
            </w:r>
          </w:p>
          <w:p w14:paraId="524119D7" w14:textId="77777777" w:rsidR="008579C6" w:rsidRPr="00AA6A42" w:rsidRDefault="008579C6" w:rsidP="00C656EF">
            <w:pPr>
              <w:pStyle w:val="TableParagraph"/>
              <w:ind w:left="0"/>
              <w:rPr>
                <w:rFonts w:asciiTheme="minorHAnsi" w:hAnsiTheme="minorHAnsi" w:cstheme="minorHAnsi"/>
                <w:sz w:val="20"/>
                <w:szCs w:val="20"/>
              </w:rPr>
            </w:pPr>
          </w:p>
          <w:p w14:paraId="76F876F7" w14:textId="77777777" w:rsidR="008579C6" w:rsidRPr="00AA6A42" w:rsidRDefault="008579C6" w:rsidP="00C656EF">
            <w:pPr>
              <w:pStyle w:val="TableParagraph"/>
              <w:ind w:left="0"/>
              <w:rPr>
                <w:rFonts w:asciiTheme="minorHAnsi" w:hAnsiTheme="minorHAnsi" w:cstheme="minorHAnsi"/>
                <w:sz w:val="20"/>
                <w:szCs w:val="20"/>
              </w:rPr>
            </w:pPr>
          </w:p>
          <w:p w14:paraId="20D04FD0" w14:textId="7798E1C4" w:rsidR="008579C6" w:rsidRPr="00AA6A42" w:rsidRDefault="008579C6" w:rsidP="008579C6">
            <w:pPr>
              <w:pStyle w:val="TableParagraph"/>
              <w:ind w:left="0"/>
              <w:rPr>
                <w:rFonts w:asciiTheme="minorHAnsi" w:hAnsiTheme="minorHAnsi" w:cstheme="minorHAnsi"/>
                <w:sz w:val="20"/>
                <w:szCs w:val="20"/>
              </w:rPr>
            </w:pPr>
            <w:r w:rsidRPr="00AA6A42">
              <w:rPr>
                <w:rFonts w:asciiTheme="minorHAnsi" w:hAnsiTheme="minorHAnsi" w:cstheme="minorHAnsi"/>
                <w:sz w:val="20"/>
                <w:szCs w:val="20"/>
              </w:rPr>
              <w:t xml:space="preserve">Range of clubs increased - </w:t>
            </w:r>
          </w:p>
        </w:tc>
        <w:tc>
          <w:tcPr>
            <w:tcW w:w="1559" w:type="dxa"/>
          </w:tcPr>
          <w:p w14:paraId="4B770D3F" w14:textId="12BD0682" w:rsidR="00C656EF" w:rsidRPr="00AA6A42" w:rsidRDefault="00C656EF" w:rsidP="00AA6A42">
            <w:pPr>
              <w:pStyle w:val="TableParagraph"/>
              <w:spacing w:before="145"/>
              <w:ind w:left="29"/>
              <w:jc w:val="center"/>
              <w:rPr>
                <w:sz w:val="20"/>
                <w:szCs w:val="20"/>
              </w:rPr>
            </w:pPr>
            <w:r w:rsidRPr="00AA6A42">
              <w:rPr>
                <w:sz w:val="20"/>
                <w:szCs w:val="20"/>
              </w:rPr>
              <w:t>£</w:t>
            </w:r>
            <w:r w:rsidR="0092002B" w:rsidRPr="00AA6A42">
              <w:rPr>
                <w:sz w:val="20"/>
                <w:szCs w:val="20"/>
              </w:rPr>
              <w:t xml:space="preserve"> 1</w:t>
            </w:r>
            <w:r w:rsidR="001564B9">
              <w:rPr>
                <w:sz w:val="20"/>
                <w:szCs w:val="20"/>
              </w:rPr>
              <w:t>000</w:t>
            </w:r>
          </w:p>
          <w:p w14:paraId="1C74A409" w14:textId="77777777" w:rsidR="0092002B" w:rsidRPr="00AA6A42" w:rsidRDefault="0092002B" w:rsidP="00AA6A42">
            <w:pPr>
              <w:pStyle w:val="TableParagraph"/>
              <w:spacing w:before="145"/>
              <w:ind w:left="29"/>
              <w:jc w:val="center"/>
              <w:rPr>
                <w:sz w:val="20"/>
                <w:szCs w:val="20"/>
              </w:rPr>
            </w:pPr>
          </w:p>
          <w:p w14:paraId="443B63CB" w14:textId="77777777" w:rsidR="0092002B" w:rsidRPr="00AA6A42" w:rsidRDefault="0092002B" w:rsidP="00AA6A42">
            <w:pPr>
              <w:pStyle w:val="TableParagraph"/>
              <w:spacing w:before="145"/>
              <w:ind w:left="29"/>
              <w:jc w:val="center"/>
              <w:rPr>
                <w:sz w:val="20"/>
                <w:szCs w:val="20"/>
              </w:rPr>
            </w:pPr>
            <w:r w:rsidRPr="00AA6A42">
              <w:rPr>
                <w:sz w:val="20"/>
                <w:szCs w:val="20"/>
              </w:rPr>
              <w:t>£2000</w:t>
            </w:r>
          </w:p>
          <w:p w14:paraId="2DABB9D9" w14:textId="77777777" w:rsidR="0092002B" w:rsidRPr="00AA6A42" w:rsidRDefault="0092002B" w:rsidP="00AA6A42">
            <w:pPr>
              <w:pStyle w:val="TableParagraph"/>
              <w:spacing w:before="145"/>
              <w:ind w:left="29"/>
              <w:jc w:val="center"/>
              <w:rPr>
                <w:sz w:val="20"/>
                <w:szCs w:val="20"/>
              </w:rPr>
            </w:pPr>
          </w:p>
          <w:p w14:paraId="052B7815" w14:textId="77777777" w:rsidR="0092002B" w:rsidRPr="00AA6A42" w:rsidRDefault="0092002B" w:rsidP="00AA6A42">
            <w:pPr>
              <w:pStyle w:val="TableParagraph"/>
              <w:spacing w:before="145"/>
              <w:ind w:left="29"/>
              <w:jc w:val="center"/>
              <w:rPr>
                <w:sz w:val="20"/>
                <w:szCs w:val="20"/>
              </w:rPr>
            </w:pPr>
            <w:r w:rsidRPr="00AA6A42">
              <w:rPr>
                <w:sz w:val="20"/>
                <w:szCs w:val="20"/>
              </w:rPr>
              <w:t>£1000</w:t>
            </w:r>
          </w:p>
          <w:p w14:paraId="7B3D2DE5" w14:textId="77777777" w:rsidR="0092002B" w:rsidRPr="00AA6A42" w:rsidRDefault="0092002B" w:rsidP="00AA6A42">
            <w:pPr>
              <w:pStyle w:val="TableParagraph"/>
              <w:spacing w:before="145"/>
              <w:ind w:left="29"/>
              <w:jc w:val="center"/>
              <w:rPr>
                <w:sz w:val="20"/>
                <w:szCs w:val="20"/>
              </w:rPr>
            </w:pPr>
          </w:p>
          <w:p w14:paraId="72929B7A" w14:textId="58AF05F1" w:rsidR="0092002B" w:rsidRDefault="0092002B" w:rsidP="00AA6A42">
            <w:pPr>
              <w:pStyle w:val="TableParagraph"/>
              <w:spacing w:before="145"/>
              <w:ind w:left="29"/>
              <w:jc w:val="center"/>
              <w:rPr>
                <w:sz w:val="24"/>
              </w:rPr>
            </w:pPr>
            <w:r w:rsidRPr="00AA6A42">
              <w:rPr>
                <w:sz w:val="20"/>
                <w:szCs w:val="20"/>
              </w:rPr>
              <w:t>£1000</w:t>
            </w:r>
          </w:p>
        </w:tc>
        <w:tc>
          <w:tcPr>
            <w:tcW w:w="3402" w:type="dxa"/>
          </w:tcPr>
          <w:p w14:paraId="7D638B02" w14:textId="69A45817" w:rsidR="008579C6" w:rsidRDefault="008579C6" w:rsidP="00DC6D73">
            <w:pPr>
              <w:pStyle w:val="TableParagraph"/>
              <w:ind w:left="0"/>
              <w:rPr>
                <w:rFonts w:ascii="Times New Roman"/>
                <w:sz w:val="24"/>
              </w:rPr>
            </w:pPr>
          </w:p>
        </w:tc>
        <w:tc>
          <w:tcPr>
            <w:tcW w:w="3569" w:type="dxa"/>
          </w:tcPr>
          <w:p w14:paraId="6ED8B6F2" w14:textId="2C8AF34B" w:rsidR="009A2137" w:rsidRPr="009A2137" w:rsidRDefault="009A2137" w:rsidP="009A2137">
            <w:pPr>
              <w:pStyle w:val="TableParagraph"/>
              <w:rPr>
                <w:sz w:val="20"/>
                <w:szCs w:val="20"/>
              </w:rPr>
            </w:pPr>
          </w:p>
        </w:tc>
      </w:tr>
    </w:tbl>
    <w:p w14:paraId="1C2C6F4E" w14:textId="615AFD57" w:rsidR="00C658FB" w:rsidRDefault="00C658FB">
      <w:pPr>
        <w:rPr>
          <w:rFonts w:ascii="Times New Roman"/>
          <w:sz w:val="24"/>
        </w:rPr>
      </w:pPr>
    </w:p>
    <w:p w14:paraId="7AB5D642" w14:textId="17986C23" w:rsidR="00AB1A85" w:rsidRDefault="00AB1A85">
      <w:pPr>
        <w:rPr>
          <w:rFonts w:ascii="Times New Roman"/>
          <w:sz w:val="24"/>
        </w:rPr>
      </w:pPr>
    </w:p>
    <w:p w14:paraId="4D793442" w14:textId="3DD6B4FF" w:rsidR="00AB1A85" w:rsidRDefault="00AB1A85">
      <w:pPr>
        <w:rPr>
          <w:rFonts w:ascii="Times New Roman"/>
          <w:sz w:val="24"/>
        </w:rPr>
      </w:pPr>
    </w:p>
    <w:p w14:paraId="70EA7F7D" w14:textId="6F29CAFB" w:rsidR="00AB1A85" w:rsidRDefault="00AB1A85">
      <w:pPr>
        <w:rPr>
          <w:rFonts w:ascii="Times New Roman"/>
          <w:sz w:val="24"/>
        </w:rPr>
      </w:pPr>
    </w:p>
    <w:p w14:paraId="315CE0AB" w14:textId="5323BFBC" w:rsidR="00AB1A85" w:rsidRDefault="00AB1A85">
      <w:pPr>
        <w:rPr>
          <w:rFonts w:ascii="Times New Roman"/>
          <w:sz w:val="24"/>
        </w:rPr>
      </w:pPr>
    </w:p>
    <w:p w14:paraId="1D7F714E" w14:textId="3D2A874A" w:rsidR="00AB1A85" w:rsidRDefault="00AB1A85">
      <w:pPr>
        <w:rPr>
          <w:rFonts w:ascii="Times New Roman"/>
          <w:sz w:val="24"/>
        </w:rPr>
      </w:pPr>
    </w:p>
    <w:p w14:paraId="7426DF17" w14:textId="28B8FC27" w:rsidR="00AB1A85" w:rsidRDefault="00AB1A85">
      <w:pPr>
        <w:rPr>
          <w:rFonts w:ascii="Times New Roman"/>
          <w:sz w:val="24"/>
        </w:rPr>
      </w:pPr>
    </w:p>
    <w:p w14:paraId="25809419" w14:textId="50BE416C" w:rsidR="00AB1A85" w:rsidRDefault="00AB1A85">
      <w:pPr>
        <w:rPr>
          <w:rFonts w:ascii="Times New Roman"/>
          <w:sz w:val="24"/>
        </w:rPr>
      </w:pPr>
    </w:p>
    <w:p w14:paraId="2DE0AADF" w14:textId="1F07F04D" w:rsidR="00AB1A85" w:rsidRDefault="00AB1A85">
      <w:pPr>
        <w:rPr>
          <w:rFonts w:ascii="Times New Roman"/>
          <w:sz w:val="24"/>
        </w:rPr>
      </w:pPr>
    </w:p>
    <w:p w14:paraId="0E9A71CC" w14:textId="560C5EF2" w:rsidR="00AB1A85" w:rsidRDefault="00AB1A85">
      <w:pPr>
        <w:rPr>
          <w:rFonts w:ascii="Times New Roman"/>
          <w:sz w:val="2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645"/>
        <w:gridCol w:w="3685"/>
        <w:gridCol w:w="1559"/>
        <w:gridCol w:w="3402"/>
        <w:gridCol w:w="3569"/>
      </w:tblGrid>
      <w:tr w:rsidR="00AB1A85" w14:paraId="5EC1B9FC" w14:textId="77777777" w:rsidTr="001564B9">
        <w:trPr>
          <w:trHeight w:val="630"/>
        </w:trPr>
        <w:tc>
          <w:tcPr>
            <w:tcW w:w="15860" w:type="dxa"/>
            <w:gridSpan w:val="5"/>
          </w:tcPr>
          <w:p w14:paraId="1DC6629C" w14:textId="147F50FB" w:rsidR="00AB1A85" w:rsidRDefault="00AB1A85" w:rsidP="001564B9">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r>
      <w:tr w:rsidR="00AB1A85" w14:paraId="5F555624" w14:textId="77777777" w:rsidTr="001564B9">
        <w:trPr>
          <w:trHeight w:val="334"/>
        </w:trPr>
        <w:tc>
          <w:tcPr>
            <w:tcW w:w="3645" w:type="dxa"/>
            <w:tcBorders>
              <w:bottom w:val="nil"/>
            </w:tcBorders>
          </w:tcPr>
          <w:p w14:paraId="4908E50B" w14:textId="77777777" w:rsidR="00AB1A85" w:rsidRDefault="00AB1A85" w:rsidP="001564B9">
            <w:pPr>
              <w:pStyle w:val="TableParagraph"/>
              <w:spacing w:before="16"/>
              <w:rPr>
                <w:sz w:val="24"/>
              </w:rPr>
            </w:pPr>
            <w:r>
              <w:rPr>
                <w:color w:val="231F20"/>
                <w:sz w:val="24"/>
              </w:rPr>
              <w:t>School focus – impact on pupils</w:t>
            </w:r>
          </w:p>
        </w:tc>
        <w:tc>
          <w:tcPr>
            <w:tcW w:w="3685" w:type="dxa"/>
            <w:tcBorders>
              <w:bottom w:val="nil"/>
            </w:tcBorders>
          </w:tcPr>
          <w:p w14:paraId="7547B16E" w14:textId="77777777" w:rsidR="00AB1A85" w:rsidRDefault="00AB1A85" w:rsidP="001564B9">
            <w:pPr>
              <w:pStyle w:val="TableParagraph"/>
              <w:spacing w:before="16"/>
              <w:rPr>
                <w:sz w:val="24"/>
              </w:rPr>
            </w:pP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p>
        </w:tc>
        <w:tc>
          <w:tcPr>
            <w:tcW w:w="1559" w:type="dxa"/>
            <w:tcBorders>
              <w:bottom w:val="nil"/>
            </w:tcBorders>
          </w:tcPr>
          <w:p w14:paraId="5A6ED261" w14:textId="77777777" w:rsidR="00AB1A85" w:rsidRDefault="00AB1A85" w:rsidP="001564B9">
            <w:pPr>
              <w:pStyle w:val="TableParagraph"/>
              <w:spacing w:before="16"/>
              <w:rPr>
                <w:sz w:val="24"/>
              </w:rPr>
            </w:pPr>
            <w:r>
              <w:rPr>
                <w:color w:val="231F20"/>
                <w:sz w:val="24"/>
              </w:rPr>
              <w:t>Funding</w:t>
            </w:r>
            <w:r>
              <w:rPr>
                <w:color w:val="231F20"/>
                <w:spacing w:val="1"/>
                <w:sz w:val="24"/>
              </w:rPr>
              <w:t xml:space="preserve"> </w:t>
            </w:r>
            <w:r>
              <w:rPr>
                <w:color w:val="231F20"/>
                <w:spacing w:val="-1"/>
                <w:sz w:val="24"/>
              </w:rPr>
              <w:t>allocated:</w:t>
            </w:r>
          </w:p>
        </w:tc>
        <w:tc>
          <w:tcPr>
            <w:tcW w:w="3402" w:type="dxa"/>
            <w:tcBorders>
              <w:bottom w:val="nil"/>
            </w:tcBorders>
          </w:tcPr>
          <w:p w14:paraId="6889B22C" w14:textId="77777777" w:rsidR="00AB1A85" w:rsidRDefault="00AB1A85" w:rsidP="001564B9">
            <w:pPr>
              <w:pStyle w:val="TableParagraph"/>
              <w:spacing w:before="16"/>
              <w:rPr>
                <w:sz w:val="24"/>
              </w:rPr>
            </w:pPr>
            <w:r>
              <w:rPr>
                <w:color w:val="231F20"/>
                <w:sz w:val="24"/>
              </w:rPr>
              <w:t>Evidence</w:t>
            </w:r>
            <w:r>
              <w:rPr>
                <w:color w:val="231F20"/>
                <w:spacing w:val="-5"/>
                <w:sz w:val="24"/>
              </w:rPr>
              <w:t xml:space="preserve"> </w:t>
            </w:r>
            <w:proofErr w:type="gramStart"/>
            <w:r>
              <w:rPr>
                <w:color w:val="231F20"/>
                <w:sz w:val="24"/>
              </w:rPr>
              <w:t xml:space="preserve">and </w:t>
            </w:r>
            <w:r>
              <w:rPr>
                <w:color w:val="231F20"/>
                <w:spacing w:val="-5"/>
                <w:sz w:val="24"/>
              </w:rPr>
              <w:t xml:space="preserve"> </w:t>
            </w:r>
            <w:r>
              <w:rPr>
                <w:color w:val="231F20"/>
                <w:sz w:val="24"/>
              </w:rPr>
              <w:t>impact</w:t>
            </w:r>
            <w:proofErr w:type="gramEnd"/>
          </w:p>
        </w:tc>
        <w:tc>
          <w:tcPr>
            <w:tcW w:w="3569" w:type="dxa"/>
            <w:tcBorders>
              <w:bottom w:val="nil"/>
            </w:tcBorders>
          </w:tcPr>
          <w:p w14:paraId="05852126" w14:textId="77777777" w:rsidR="00AB1A85" w:rsidRDefault="00AB1A85" w:rsidP="001564B9">
            <w:pPr>
              <w:pStyle w:val="TableParagraph"/>
              <w:spacing w:before="16"/>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AB1A85" w14:paraId="325E168C" w14:textId="77777777" w:rsidTr="001564B9">
        <w:trPr>
          <w:trHeight w:val="2172"/>
        </w:trPr>
        <w:tc>
          <w:tcPr>
            <w:tcW w:w="3645" w:type="dxa"/>
          </w:tcPr>
          <w:p w14:paraId="5D8AC354" w14:textId="39E92C5D" w:rsidR="00AB1A85" w:rsidRPr="00AB1A85" w:rsidRDefault="00AB1A85" w:rsidP="00AB1A85">
            <w:pPr>
              <w:pStyle w:val="TableParagraph"/>
              <w:ind w:left="0"/>
              <w:rPr>
                <w:rFonts w:asciiTheme="minorHAnsi" w:hAnsiTheme="minorHAnsi" w:cstheme="minorHAnsi"/>
                <w:sz w:val="20"/>
                <w:szCs w:val="20"/>
              </w:rPr>
            </w:pPr>
            <w:r w:rsidRPr="00AB1A85">
              <w:rPr>
                <w:rFonts w:asciiTheme="minorHAnsi" w:hAnsiTheme="minorHAnsi" w:cstheme="minorHAnsi"/>
                <w:sz w:val="20"/>
                <w:szCs w:val="20"/>
              </w:rPr>
              <w:t>To take part as a house system for sports day and celebrate achievements in assembly.</w:t>
            </w:r>
            <w:r w:rsidR="001564B9">
              <w:rPr>
                <w:rFonts w:asciiTheme="minorHAnsi" w:hAnsiTheme="minorHAnsi" w:cstheme="minorHAnsi"/>
                <w:sz w:val="20"/>
                <w:szCs w:val="20"/>
              </w:rPr>
              <w:t xml:space="preserve"> </w:t>
            </w:r>
            <w:proofErr w:type="gramStart"/>
            <w:r w:rsidR="001564B9">
              <w:rPr>
                <w:rFonts w:asciiTheme="minorHAnsi" w:hAnsiTheme="minorHAnsi" w:cstheme="minorHAnsi"/>
                <w:sz w:val="20"/>
                <w:szCs w:val="20"/>
              </w:rPr>
              <w:t>Plus</w:t>
            </w:r>
            <w:proofErr w:type="gramEnd"/>
            <w:r w:rsidR="001564B9">
              <w:rPr>
                <w:rFonts w:asciiTheme="minorHAnsi" w:hAnsiTheme="minorHAnsi" w:cstheme="minorHAnsi"/>
                <w:sz w:val="20"/>
                <w:szCs w:val="20"/>
              </w:rPr>
              <w:t xml:space="preserve"> half termly competitions. </w:t>
            </w:r>
          </w:p>
          <w:p w14:paraId="2F7468ED" w14:textId="77777777" w:rsidR="00AB1A85" w:rsidRPr="00AB1A85" w:rsidRDefault="00AB1A85" w:rsidP="00AB1A85">
            <w:pPr>
              <w:pStyle w:val="TableParagraph"/>
              <w:ind w:left="0"/>
              <w:rPr>
                <w:rFonts w:asciiTheme="minorHAnsi" w:hAnsiTheme="minorHAnsi" w:cstheme="minorHAnsi"/>
                <w:sz w:val="20"/>
                <w:szCs w:val="20"/>
              </w:rPr>
            </w:pPr>
          </w:p>
          <w:p w14:paraId="1FEA05CB" w14:textId="777EFD63" w:rsidR="00AB1A85" w:rsidRDefault="00AB1A85" w:rsidP="00AB1A85">
            <w:pPr>
              <w:pStyle w:val="TableParagraph"/>
              <w:ind w:left="0"/>
              <w:rPr>
                <w:rFonts w:ascii="Times New Roman"/>
              </w:rPr>
            </w:pPr>
            <w:r w:rsidRPr="00AB1A85">
              <w:rPr>
                <w:rFonts w:asciiTheme="minorHAnsi" w:hAnsiTheme="minorHAnsi" w:cstheme="minorHAnsi"/>
                <w:sz w:val="20"/>
                <w:szCs w:val="20"/>
              </w:rPr>
              <w:t>Using Lewisham</w:t>
            </w:r>
            <w:r>
              <w:rPr>
                <w:rFonts w:asciiTheme="minorHAnsi" w:hAnsiTheme="minorHAnsi" w:cstheme="minorHAnsi"/>
                <w:sz w:val="20"/>
                <w:szCs w:val="20"/>
              </w:rPr>
              <w:t>’s</w:t>
            </w:r>
            <w:r w:rsidRPr="00AB1A85">
              <w:rPr>
                <w:rFonts w:asciiTheme="minorHAnsi" w:hAnsiTheme="minorHAnsi" w:cstheme="minorHAnsi"/>
                <w:sz w:val="20"/>
                <w:szCs w:val="20"/>
              </w:rPr>
              <w:t xml:space="preserve"> sports programme to establish matches with other schools</w:t>
            </w:r>
            <w:r>
              <w:rPr>
                <w:rFonts w:ascii="Times New Roman"/>
              </w:rPr>
              <w:t>.</w:t>
            </w:r>
          </w:p>
          <w:p w14:paraId="5DCBB367" w14:textId="6AAE5ABF" w:rsidR="00F007A1" w:rsidRDefault="00F007A1" w:rsidP="00AB1A85">
            <w:pPr>
              <w:pStyle w:val="TableParagraph"/>
              <w:ind w:left="0"/>
              <w:rPr>
                <w:rFonts w:ascii="Times New Roman"/>
              </w:rPr>
            </w:pPr>
          </w:p>
          <w:p w14:paraId="3DDC338B" w14:textId="1858460A" w:rsidR="00F007A1" w:rsidRDefault="00F007A1" w:rsidP="00AB1A85">
            <w:pPr>
              <w:pStyle w:val="TableParagraph"/>
              <w:ind w:left="0"/>
              <w:rPr>
                <w:rFonts w:ascii="Times New Roman"/>
              </w:rPr>
            </w:pPr>
            <w:r>
              <w:rPr>
                <w:rFonts w:ascii="Times New Roman"/>
              </w:rPr>
              <w:t xml:space="preserve">Half termly inters school competitions. to increase participation in competitive sport. </w:t>
            </w:r>
          </w:p>
          <w:p w14:paraId="4ACC39B4" w14:textId="152F9599" w:rsidR="00AB1A85" w:rsidRPr="00AA6A42" w:rsidRDefault="00AB1A85" w:rsidP="001564B9">
            <w:pPr>
              <w:pStyle w:val="TableParagraph"/>
              <w:spacing w:before="149"/>
              <w:ind w:left="66"/>
              <w:rPr>
                <w:rFonts w:asciiTheme="minorHAnsi" w:hAnsiTheme="minorHAnsi" w:cstheme="minorHAnsi"/>
                <w:sz w:val="20"/>
                <w:szCs w:val="20"/>
              </w:rPr>
            </w:pPr>
          </w:p>
        </w:tc>
        <w:tc>
          <w:tcPr>
            <w:tcW w:w="3685" w:type="dxa"/>
          </w:tcPr>
          <w:p w14:paraId="01D4E10E" w14:textId="77777777" w:rsidR="00AB1A85" w:rsidRDefault="00AB1A85" w:rsidP="001564B9">
            <w:pPr>
              <w:pStyle w:val="TableParagraph"/>
              <w:ind w:left="0"/>
              <w:rPr>
                <w:rFonts w:asciiTheme="minorHAnsi" w:hAnsiTheme="minorHAnsi" w:cstheme="minorHAnsi"/>
                <w:sz w:val="20"/>
                <w:szCs w:val="20"/>
              </w:rPr>
            </w:pPr>
            <w:r w:rsidRPr="00AA6A42">
              <w:rPr>
                <w:rFonts w:asciiTheme="minorHAnsi" w:hAnsiTheme="minorHAnsi" w:cstheme="minorHAnsi"/>
                <w:sz w:val="20"/>
                <w:szCs w:val="20"/>
              </w:rPr>
              <w:t xml:space="preserve"> </w:t>
            </w:r>
            <w:r w:rsidR="0061151B">
              <w:rPr>
                <w:rFonts w:asciiTheme="minorHAnsi" w:hAnsiTheme="minorHAnsi" w:cstheme="minorHAnsi"/>
                <w:sz w:val="20"/>
                <w:szCs w:val="20"/>
              </w:rPr>
              <w:t xml:space="preserve">To work with sports coach to organise sports day. </w:t>
            </w:r>
          </w:p>
          <w:p w14:paraId="18296C3A" w14:textId="77777777" w:rsidR="0061151B" w:rsidRDefault="0061151B" w:rsidP="001564B9">
            <w:pPr>
              <w:pStyle w:val="TableParagraph"/>
              <w:ind w:left="0"/>
              <w:rPr>
                <w:rFonts w:asciiTheme="minorHAnsi" w:hAnsiTheme="minorHAnsi" w:cstheme="minorHAnsi"/>
                <w:sz w:val="20"/>
                <w:szCs w:val="20"/>
              </w:rPr>
            </w:pPr>
          </w:p>
          <w:p w14:paraId="036A8A74" w14:textId="77777777" w:rsidR="001564B9" w:rsidRDefault="001564B9" w:rsidP="001564B9">
            <w:pPr>
              <w:pStyle w:val="TableParagraph"/>
              <w:ind w:left="0"/>
              <w:rPr>
                <w:rFonts w:asciiTheme="minorHAnsi" w:hAnsiTheme="minorHAnsi" w:cstheme="minorHAnsi"/>
                <w:sz w:val="20"/>
                <w:szCs w:val="20"/>
              </w:rPr>
            </w:pPr>
          </w:p>
          <w:p w14:paraId="65E8E875" w14:textId="18760A01" w:rsidR="0061151B" w:rsidRPr="00AA6A42" w:rsidRDefault="0061151B" w:rsidP="001564B9">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Contact with lead sports coach at </w:t>
            </w:r>
            <w:proofErr w:type="spellStart"/>
            <w:r>
              <w:rPr>
                <w:rFonts w:asciiTheme="minorHAnsi" w:hAnsiTheme="minorHAnsi" w:cstheme="minorHAnsi"/>
                <w:sz w:val="20"/>
                <w:szCs w:val="20"/>
              </w:rPr>
              <w:t>Dalmain</w:t>
            </w:r>
            <w:proofErr w:type="spellEnd"/>
            <w:r>
              <w:rPr>
                <w:rFonts w:asciiTheme="minorHAnsi" w:hAnsiTheme="minorHAnsi" w:cstheme="minorHAnsi"/>
                <w:sz w:val="20"/>
                <w:szCs w:val="20"/>
              </w:rPr>
              <w:t xml:space="preserve">. </w:t>
            </w:r>
          </w:p>
        </w:tc>
        <w:tc>
          <w:tcPr>
            <w:tcW w:w="1559" w:type="dxa"/>
          </w:tcPr>
          <w:p w14:paraId="52C9EFF0" w14:textId="6151124D" w:rsidR="00AB1A85" w:rsidRPr="00AB1A85" w:rsidRDefault="00AB1A85" w:rsidP="001564B9">
            <w:pPr>
              <w:pStyle w:val="TableParagraph"/>
              <w:spacing w:before="145"/>
              <w:ind w:left="29"/>
              <w:jc w:val="center"/>
              <w:rPr>
                <w:sz w:val="20"/>
                <w:szCs w:val="20"/>
              </w:rPr>
            </w:pPr>
            <w:r w:rsidRPr="00AB1A85">
              <w:rPr>
                <w:sz w:val="20"/>
                <w:szCs w:val="20"/>
              </w:rPr>
              <w:t>N/A</w:t>
            </w:r>
          </w:p>
        </w:tc>
        <w:tc>
          <w:tcPr>
            <w:tcW w:w="3402" w:type="dxa"/>
          </w:tcPr>
          <w:p w14:paraId="138F0641" w14:textId="4BC192E5" w:rsidR="00AB1A85" w:rsidRPr="00AB1A85" w:rsidRDefault="00AB1A85" w:rsidP="00AB1A85">
            <w:pPr>
              <w:pStyle w:val="TableParagraph"/>
              <w:ind w:left="0"/>
              <w:rPr>
                <w:rFonts w:asciiTheme="minorHAnsi" w:hAnsiTheme="minorHAnsi" w:cstheme="minorHAnsi"/>
                <w:sz w:val="20"/>
                <w:szCs w:val="20"/>
              </w:rPr>
            </w:pPr>
          </w:p>
        </w:tc>
        <w:tc>
          <w:tcPr>
            <w:tcW w:w="3569" w:type="dxa"/>
          </w:tcPr>
          <w:p w14:paraId="70EF9618" w14:textId="60D44E02" w:rsidR="00AB1A85" w:rsidRPr="00AB1A85" w:rsidRDefault="00AB1A85" w:rsidP="00AB1A85">
            <w:pPr>
              <w:pStyle w:val="TableParagraph"/>
              <w:ind w:left="0"/>
              <w:rPr>
                <w:rFonts w:asciiTheme="minorHAnsi" w:hAnsiTheme="minorHAnsi" w:cstheme="minorHAnsi"/>
                <w:sz w:val="20"/>
                <w:szCs w:val="20"/>
              </w:rPr>
            </w:pPr>
          </w:p>
        </w:tc>
      </w:tr>
    </w:tbl>
    <w:p w14:paraId="33A360D4" w14:textId="519DAA1F" w:rsidR="00AB1A85" w:rsidRDefault="00AB1A85">
      <w:pPr>
        <w:rPr>
          <w:rFonts w:ascii="Times New Roman"/>
          <w:sz w:val="24"/>
        </w:rPr>
        <w:sectPr w:rsidR="00AB1A85">
          <w:type w:val="continuous"/>
          <w:pgSz w:w="16840" w:h="11910" w:orient="landscape"/>
          <w:pgMar w:top="720" w:right="220" w:bottom="620" w:left="0" w:header="0" w:footer="438" w:gutter="0"/>
          <w:cols w:space="720"/>
        </w:sectPr>
      </w:pPr>
    </w:p>
    <w:p w14:paraId="0D63F21F" w14:textId="77777777" w:rsidR="00C46CFF" w:rsidRDefault="00C46CFF"/>
    <w:p w14:paraId="11022591" w14:textId="77777777" w:rsidR="00CF74FE" w:rsidRDefault="00CF74FE"/>
    <w:sectPr w:rsidR="00CF74FE">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F007A1" w:rsidRDefault="00F007A1">
      <w:r>
        <w:separator/>
      </w:r>
    </w:p>
  </w:endnote>
  <w:endnote w:type="continuationSeparator" w:id="0">
    <w:p w14:paraId="28F49B6E" w14:textId="77777777" w:rsidR="00F007A1" w:rsidRDefault="00F0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0BD45BA4" w:rsidR="00F007A1" w:rsidRDefault="00F007A1">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C82861B" wp14:editId="2B237F3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124BD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65FB49E" wp14:editId="2B279E06">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1E02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10A0E027" wp14:editId="65D9C8AB">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F007A1" w:rsidRDefault="00F007A1">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0"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F007A1" w:rsidRDefault="00F007A1">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6C3E7FA" wp14:editId="103A18C8">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F007A1" w:rsidRDefault="00F007A1">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1"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F007A1" w:rsidRDefault="00F007A1">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F007A1" w:rsidRDefault="00F007A1">
      <w:r>
        <w:separator/>
      </w:r>
    </w:p>
  </w:footnote>
  <w:footnote w:type="continuationSeparator" w:id="0">
    <w:p w14:paraId="2BB15A01" w14:textId="77777777" w:rsidR="00F007A1" w:rsidRDefault="00F0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9BF"/>
    <w:multiLevelType w:val="hybridMultilevel"/>
    <w:tmpl w:val="86AC0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171E3C"/>
    <w:multiLevelType w:val="hybridMultilevel"/>
    <w:tmpl w:val="2838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117C"/>
    <w:multiLevelType w:val="hybridMultilevel"/>
    <w:tmpl w:val="ECD694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15D76C2"/>
    <w:multiLevelType w:val="hybridMultilevel"/>
    <w:tmpl w:val="88F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E661D"/>
    <w:multiLevelType w:val="hybridMultilevel"/>
    <w:tmpl w:val="72B2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504AA"/>
    <w:multiLevelType w:val="hybridMultilevel"/>
    <w:tmpl w:val="4056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733D3"/>
    <w:rsid w:val="000D7018"/>
    <w:rsid w:val="001564B9"/>
    <w:rsid w:val="002126B9"/>
    <w:rsid w:val="00336E2E"/>
    <w:rsid w:val="003863A4"/>
    <w:rsid w:val="003E11F8"/>
    <w:rsid w:val="00575CFA"/>
    <w:rsid w:val="005C2EA9"/>
    <w:rsid w:val="0061151B"/>
    <w:rsid w:val="006D679D"/>
    <w:rsid w:val="0075143A"/>
    <w:rsid w:val="0077690D"/>
    <w:rsid w:val="008311A2"/>
    <w:rsid w:val="008579C6"/>
    <w:rsid w:val="0092002B"/>
    <w:rsid w:val="00927CFA"/>
    <w:rsid w:val="009A2137"/>
    <w:rsid w:val="00AA6A42"/>
    <w:rsid w:val="00AB1A85"/>
    <w:rsid w:val="00AD29F2"/>
    <w:rsid w:val="00B70972"/>
    <w:rsid w:val="00C46CFF"/>
    <w:rsid w:val="00C656EF"/>
    <w:rsid w:val="00C658FB"/>
    <w:rsid w:val="00CF74FE"/>
    <w:rsid w:val="00D131A0"/>
    <w:rsid w:val="00D4516A"/>
    <w:rsid w:val="00D839EB"/>
    <w:rsid w:val="00DC6D73"/>
    <w:rsid w:val="00EA6182"/>
    <w:rsid w:val="00EB19CF"/>
    <w:rsid w:val="00F007A1"/>
    <w:rsid w:val="00F72CB4"/>
    <w:rsid w:val="00FA1985"/>
    <w:rsid w:val="00FC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semiHidden/>
    <w:unhideWhenUsed/>
    <w:rsid w:val="005C2EA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C2F2-E464-41FB-8605-7DEB6F0E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Sara G. Gambier</cp:lastModifiedBy>
  <cp:revision>2</cp:revision>
  <cp:lastPrinted>2022-09-14T11:36:00Z</cp:lastPrinted>
  <dcterms:created xsi:type="dcterms:W3CDTF">2022-11-29T13:54:00Z</dcterms:created>
  <dcterms:modified xsi:type="dcterms:W3CDTF">2022-11-29T13:54:00Z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