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EF" w:rsidRDefault="008005C2">
      <w:pPr>
        <w:pStyle w:val="Heading1"/>
      </w:pPr>
      <w:bookmarkStart w:id="0" w:name="_Toc357771638"/>
      <w:bookmarkStart w:id="1" w:name="_Toc346793416"/>
      <w:bookmarkStart w:id="2" w:name="_Toc328122777"/>
      <w:bookmarkStart w:id="3" w:name="_GoBack"/>
      <w:bookmarkEnd w:id="3"/>
      <w:r>
        <w:t xml:space="preserve">Pupil Premium Strategy Statement </w:t>
      </w:r>
      <w:r>
        <w:tab/>
        <w:t xml:space="preserve">               </w:t>
      </w:r>
      <w:r>
        <w:rPr>
          <w:noProof/>
        </w:rPr>
        <w:drawing>
          <wp:inline distT="0" distB="0" distL="0" distR="0">
            <wp:extent cx="914400" cy="676271"/>
            <wp:effectExtent l="0" t="0" r="0" b="0"/>
            <wp:docPr id="1" name="Picture 2" descr="T:\Perrymount Logo\PERRYMOUNT LOGO smal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14400" cy="676271"/>
                    </a:xfrm>
                    <a:prstGeom prst="rect">
                      <a:avLst/>
                    </a:prstGeom>
                    <a:noFill/>
                    <a:ln>
                      <a:noFill/>
                      <a:prstDash/>
                    </a:ln>
                  </pic:spPr>
                </pic:pic>
              </a:graphicData>
            </a:graphic>
          </wp:inline>
        </w:drawing>
      </w:r>
    </w:p>
    <w:p w:rsidR="00E665EF" w:rsidRDefault="008005C2">
      <w:pPr>
        <w:pStyle w:val="Heading2"/>
        <w:rPr>
          <w:sz w:val="24"/>
          <w:szCs w:val="24"/>
        </w:rPr>
      </w:pPr>
      <w:bookmarkStart w:id="4" w:name="_Toc385406061"/>
      <w:bookmarkEnd w:id="0"/>
      <w:bookmarkEnd w:id="1"/>
      <w:bookmarkEnd w:id="2"/>
      <w:r>
        <w:rPr>
          <w:sz w:val="24"/>
          <w:szCs w:val="24"/>
        </w:rPr>
        <w:t>School overview</w:t>
      </w:r>
    </w:p>
    <w:tbl>
      <w:tblPr>
        <w:tblW w:w="9493" w:type="dxa"/>
        <w:tblCellMar>
          <w:left w:w="10" w:type="dxa"/>
          <w:right w:w="10" w:type="dxa"/>
        </w:tblCellMar>
        <w:tblLook w:val="04A0" w:firstRow="1" w:lastRow="0" w:firstColumn="1" w:lastColumn="0" w:noHBand="0" w:noVBand="1"/>
      </w:tblPr>
      <w:tblGrid>
        <w:gridCol w:w="4815"/>
        <w:gridCol w:w="4678"/>
      </w:tblGrid>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b/>
                <w:sz w:val="22"/>
                <w:szCs w:val="22"/>
              </w:rPr>
            </w:pPr>
            <w:r>
              <w:rPr>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b/>
                <w:sz w:val="22"/>
                <w:szCs w:val="22"/>
              </w:rPr>
            </w:pPr>
            <w:r>
              <w:rPr>
                <w:b/>
                <w:sz w:val="22"/>
                <w:szCs w:val="22"/>
              </w:rPr>
              <w:t>Data</w:t>
            </w:r>
          </w:p>
        </w:tc>
      </w:tr>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proofErr w:type="spellStart"/>
            <w:r>
              <w:rPr>
                <w:rStyle w:val="PlaceholderText"/>
                <w:color w:val="auto"/>
              </w:rPr>
              <w:t>Perrymount</w:t>
            </w:r>
            <w:proofErr w:type="spellEnd"/>
            <w:r>
              <w:rPr>
                <w:rStyle w:val="PlaceholderText"/>
                <w:color w:val="auto"/>
              </w:rPr>
              <w:t xml:space="preserve"> Primary School</w:t>
            </w:r>
          </w:p>
        </w:tc>
      </w:tr>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t>195</w:t>
            </w:r>
          </w:p>
        </w:tc>
      </w:tr>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t>35.38%</w:t>
            </w:r>
          </w:p>
        </w:tc>
      </w:tr>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sz w:val="22"/>
                <w:szCs w:val="22"/>
              </w:rPr>
            </w:pPr>
            <w:r>
              <w:rPr>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t>£106,255</w:t>
            </w:r>
          </w:p>
        </w:tc>
      </w:tr>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t>2021-2022</w:t>
            </w:r>
          </w:p>
        </w:tc>
      </w:tr>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t>September 2021</w:t>
            </w:r>
          </w:p>
        </w:tc>
      </w:tr>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t>February 2022</w:t>
            </w:r>
          </w:p>
        </w:tc>
      </w:tr>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sz w:val="22"/>
                <w:szCs w:val="22"/>
              </w:rPr>
            </w:pPr>
            <w:r>
              <w:rPr>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t>Christine Keen</w:t>
            </w:r>
          </w:p>
        </w:tc>
      </w:tr>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t>Nina Wilson</w:t>
            </w:r>
          </w:p>
        </w:tc>
      </w:tr>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t>Kerry Heath</w:t>
            </w:r>
          </w:p>
        </w:tc>
      </w:tr>
    </w:tbl>
    <w:p w:rsidR="00E665EF" w:rsidRDefault="008005C2">
      <w:pPr>
        <w:pStyle w:val="Heading2"/>
        <w:rPr>
          <w:sz w:val="24"/>
          <w:szCs w:val="24"/>
        </w:rPr>
      </w:pPr>
      <w:r>
        <w:rPr>
          <w:sz w:val="24"/>
          <w:szCs w:val="24"/>
        </w:rPr>
        <w:t>Disadvantaged pupil progress scores for last academic year</w:t>
      </w:r>
    </w:p>
    <w:tbl>
      <w:tblPr>
        <w:tblW w:w="9493" w:type="dxa"/>
        <w:tblCellMar>
          <w:left w:w="10" w:type="dxa"/>
          <w:right w:w="10" w:type="dxa"/>
        </w:tblCellMar>
        <w:tblLook w:val="04A0" w:firstRow="1" w:lastRow="0" w:firstColumn="1" w:lastColumn="0" w:noHBand="0" w:noVBand="1"/>
      </w:tblPr>
      <w:tblGrid>
        <w:gridCol w:w="4815"/>
        <w:gridCol w:w="4678"/>
      </w:tblGrid>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b/>
                <w:sz w:val="22"/>
                <w:szCs w:val="22"/>
              </w:rPr>
              <w:t>Score</w:t>
            </w:r>
          </w:p>
        </w:tc>
      </w:tr>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Fonts w:cs="Calibri"/>
                <w:color w:val="auto"/>
                <w:sz w:val="22"/>
                <w:szCs w:val="22"/>
              </w:rPr>
              <w:t>Reading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Style w:val="PlaceholderText"/>
                <w:color w:val="auto"/>
              </w:rPr>
              <w:t>Data unavailable for 2020-21</w:t>
            </w:r>
          </w:p>
        </w:tc>
      </w:tr>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rFonts w:cs="Calibri"/>
                <w:color w:val="auto"/>
                <w:sz w:val="22"/>
                <w:szCs w:val="22"/>
              </w:rPr>
            </w:pPr>
            <w:r>
              <w:rPr>
                <w:rFonts w:cs="Calibri"/>
                <w:color w:val="auto"/>
                <w:sz w:val="22"/>
                <w:szCs w:val="22"/>
              </w:rPr>
              <w:t>Writing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Style w:val="PlaceholderText"/>
                <w:color w:val="auto"/>
              </w:rPr>
              <w:t>Data unavailable for 2020-21</w:t>
            </w:r>
          </w:p>
        </w:tc>
      </w:tr>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rFonts w:cs="Calibri"/>
                <w:color w:val="auto"/>
                <w:sz w:val="22"/>
                <w:szCs w:val="22"/>
              </w:rPr>
            </w:pPr>
            <w:r>
              <w:rPr>
                <w:rFonts w:cs="Calibri"/>
                <w:color w:val="auto"/>
                <w:sz w:val="22"/>
                <w:szCs w:val="22"/>
              </w:rPr>
              <w:t>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Style w:val="PlaceholderText"/>
                <w:color w:val="auto"/>
              </w:rPr>
              <w:t>Data unavailable for 2020-21</w:t>
            </w:r>
          </w:p>
        </w:tc>
      </w:tr>
    </w:tbl>
    <w:p w:rsidR="00E665EF" w:rsidRDefault="008005C2">
      <w:pPr>
        <w:pStyle w:val="Heading2"/>
        <w:rPr>
          <w:sz w:val="24"/>
          <w:szCs w:val="24"/>
        </w:rPr>
      </w:pPr>
      <w:r>
        <w:rPr>
          <w:sz w:val="24"/>
          <w:szCs w:val="24"/>
        </w:rPr>
        <w:t>Disadvantaged pupil performance for last academic year</w:t>
      </w:r>
    </w:p>
    <w:tbl>
      <w:tblPr>
        <w:tblW w:w="9493" w:type="dxa"/>
        <w:tblCellMar>
          <w:left w:w="10" w:type="dxa"/>
          <w:right w:w="10" w:type="dxa"/>
        </w:tblCellMar>
        <w:tblLook w:val="04A0" w:firstRow="1" w:lastRow="0" w:firstColumn="1" w:lastColumn="0" w:noHBand="0" w:noVBand="1"/>
      </w:tblPr>
      <w:tblGrid>
        <w:gridCol w:w="4815"/>
        <w:gridCol w:w="4678"/>
      </w:tblGrid>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b/>
                <w:sz w:val="22"/>
                <w:szCs w:val="22"/>
              </w:rPr>
              <w:t>Score</w:t>
            </w:r>
          </w:p>
        </w:tc>
      </w:tr>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rFonts w:cs="Calibri"/>
                <w:sz w:val="22"/>
                <w:szCs w:val="22"/>
              </w:rPr>
            </w:pPr>
            <w:r>
              <w:rPr>
                <w:rFonts w:cs="Calibri"/>
                <w:sz w:val="22"/>
                <w:szCs w:val="22"/>
              </w:rPr>
              <w:t>Meeting expected standard at KS2</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Style w:val="PlaceholderText"/>
                <w:color w:val="auto"/>
              </w:rPr>
              <w:t>Data unavailable for 2020-21</w:t>
            </w:r>
          </w:p>
        </w:tc>
      </w:tr>
      <w:tr w:rsidR="00E665EF">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rFonts w:cs="Calibri"/>
                <w:sz w:val="22"/>
                <w:szCs w:val="22"/>
              </w:rPr>
            </w:pPr>
            <w:r>
              <w:rPr>
                <w:rFonts w:cs="Calibri"/>
                <w:sz w:val="22"/>
                <w:szCs w:val="22"/>
              </w:rPr>
              <w:t>Achieving high standard at KS2</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Style w:val="PlaceholderText"/>
                <w:color w:val="auto"/>
              </w:rPr>
              <w:t>Data unavailable for 2020-21</w:t>
            </w:r>
          </w:p>
        </w:tc>
      </w:tr>
    </w:tbl>
    <w:p w:rsidR="00E665EF" w:rsidRDefault="00E665EF">
      <w:pPr>
        <w:spacing w:after="0"/>
      </w:pPr>
    </w:p>
    <w:p w:rsidR="00E665EF" w:rsidRDefault="00E665EF">
      <w:pPr>
        <w:spacing w:after="0"/>
      </w:pPr>
    </w:p>
    <w:p w:rsidR="00E665EF" w:rsidRDefault="00E665EF">
      <w:pPr>
        <w:spacing w:after="0"/>
      </w:pPr>
    </w:p>
    <w:p w:rsidR="00E665EF" w:rsidRDefault="00E665EF">
      <w:pPr>
        <w:spacing w:after="0"/>
      </w:pPr>
    </w:p>
    <w:p w:rsidR="00E665EF" w:rsidRDefault="00E665EF">
      <w:pPr>
        <w:spacing w:after="0"/>
      </w:pPr>
    </w:p>
    <w:p w:rsidR="00E665EF" w:rsidRDefault="00E665EF">
      <w:pPr>
        <w:spacing w:after="0"/>
      </w:pPr>
    </w:p>
    <w:p w:rsidR="00E665EF" w:rsidRDefault="008005C2">
      <w:pPr>
        <w:pStyle w:val="Heading2"/>
        <w:rPr>
          <w:sz w:val="24"/>
          <w:szCs w:val="24"/>
        </w:rPr>
      </w:pPr>
      <w:r>
        <w:rPr>
          <w:sz w:val="24"/>
          <w:szCs w:val="24"/>
        </w:rPr>
        <w:lastRenderedPageBreak/>
        <w:t>Strategy aims for disadvantaged pupils</w:t>
      </w:r>
    </w:p>
    <w:tbl>
      <w:tblPr>
        <w:tblW w:w="9493" w:type="dxa"/>
        <w:tblCellMar>
          <w:left w:w="10" w:type="dxa"/>
          <w:right w:w="10" w:type="dxa"/>
        </w:tblCellMar>
        <w:tblLook w:val="04A0" w:firstRow="1" w:lastRow="0" w:firstColumn="1" w:lastColumn="0" w:noHBand="0" w:noVBand="1"/>
      </w:tblPr>
      <w:tblGrid>
        <w:gridCol w:w="3539"/>
        <w:gridCol w:w="5954"/>
      </w:tblGrid>
      <w:tr w:rsidR="00E665EF">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b/>
                <w:sz w:val="22"/>
                <w:szCs w:val="22"/>
              </w:rPr>
            </w:pPr>
            <w:r>
              <w:rPr>
                <w:b/>
                <w:sz w:val="22"/>
                <w:szCs w:val="22"/>
              </w:rPr>
              <w:t>Activity</w:t>
            </w:r>
          </w:p>
        </w:tc>
      </w:tr>
      <w:tr w:rsidR="00E665EF">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numPr>
                <w:ilvl w:val="0"/>
                <w:numId w:val="22"/>
              </w:numPr>
            </w:pPr>
            <w:r>
              <w:rPr>
                <w:rStyle w:val="PlaceholderText"/>
                <w:color w:val="auto"/>
              </w:rPr>
              <w:t xml:space="preserve">Ensure all relevant staff (including new </w:t>
            </w:r>
            <w:r>
              <w:rPr>
                <w:rStyle w:val="PlaceholderText"/>
                <w:color w:val="auto"/>
              </w:rPr>
              <w:t>staff) have received paid-for-training in delivering the MNP numeracy scheme.</w:t>
            </w:r>
          </w:p>
          <w:p w:rsidR="00E665EF" w:rsidRDefault="008005C2">
            <w:pPr>
              <w:pStyle w:val="TableRow"/>
              <w:numPr>
                <w:ilvl w:val="0"/>
                <w:numId w:val="22"/>
              </w:numPr>
            </w:pPr>
            <w:r>
              <w:rPr>
                <w:rStyle w:val="PlaceholderText"/>
                <w:color w:val="auto"/>
              </w:rPr>
              <w:t>KS1 teachers to have embedded the Mastering Number programme in KS1.</w:t>
            </w:r>
          </w:p>
          <w:p w:rsidR="00E665EF" w:rsidRDefault="008005C2">
            <w:pPr>
              <w:pStyle w:val="TableRow"/>
              <w:numPr>
                <w:ilvl w:val="0"/>
                <w:numId w:val="22"/>
              </w:numPr>
            </w:pPr>
            <w:r>
              <w:rPr>
                <w:rStyle w:val="PlaceholderText"/>
                <w:color w:val="auto"/>
              </w:rPr>
              <w:t>All relevant materials are purchased/costs are covered to support and achieve the above.</w:t>
            </w:r>
          </w:p>
          <w:p w:rsidR="00E665EF" w:rsidRDefault="008005C2">
            <w:pPr>
              <w:pStyle w:val="TableRow"/>
            </w:pPr>
            <w:r>
              <w:rPr>
                <w:rStyle w:val="PlaceholderText"/>
                <w:i/>
                <w:color w:val="auto"/>
                <w:sz w:val="20"/>
                <w:szCs w:val="20"/>
              </w:rPr>
              <w:t>See the EEF recommen</w:t>
            </w:r>
            <w:r>
              <w:rPr>
                <w:rStyle w:val="PlaceholderText"/>
                <w:i/>
                <w:color w:val="auto"/>
                <w:sz w:val="20"/>
                <w:szCs w:val="20"/>
              </w:rPr>
              <w:t>dations summary ‘Improving Mathematics in Early, KS1 and KS2’</w:t>
            </w:r>
          </w:p>
        </w:tc>
      </w:tr>
      <w:tr w:rsidR="00E665EF">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rFonts w:cs="Calibri"/>
                <w:sz w:val="22"/>
                <w:szCs w:val="22"/>
              </w:rPr>
            </w:pPr>
            <w:r>
              <w:rPr>
                <w:rFonts w:cs="Calibri"/>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numPr>
                <w:ilvl w:val="0"/>
                <w:numId w:val="23"/>
              </w:numPr>
            </w:pPr>
            <w:r>
              <w:rPr>
                <w:rStyle w:val="PlaceholderText"/>
                <w:color w:val="auto"/>
              </w:rPr>
              <w:t xml:space="preserve">Ensure all relevant staff (including new staff) have received phonics training. </w:t>
            </w:r>
          </w:p>
          <w:p w:rsidR="00E665EF" w:rsidRDefault="008005C2">
            <w:pPr>
              <w:pStyle w:val="TableRow"/>
              <w:numPr>
                <w:ilvl w:val="0"/>
                <w:numId w:val="23"/>
              </w:numPr>
            </w:pPr>
            <w:r>
              <w:rPr>
                <w:rStyle w:val="PlaceholderText"/>
                <w:color w:val="auto"/>
              </w:rPr>
              <w:t>Speech and Language screening for all of Y1 and interventions provided.</w:t>
            </w:r>
          </w:p>
          <w:p w:rsidR="00E665EF" w:rsidRDefault="008005C2">
            <w:pPr>
              <w:pStyle w:val="TableRow"/>
              <w:numPr>
                <w:ilvl w:val="0"/>
                <w:numId w:val="23"/>
              </w:numPr>
            </w:pPr>
            <w:r>
              <w:rPr>
                <w:rStyle w:val="PlaceholderText"/>
                <w:color w:val="auto"/>
              </w:rPr>
              <w:t xml:space="preserve">Staff trained on ‘NELI’ and </w:t>
            </w:r>
            <w:r>
              <w:rPr>
                <w:rStyle w:val="PlaceholderText"/>
                <w:color w:val="auto"/>
              </w:rPr>
              <w:t>programme introduced in EYFS.</w:t>
            </w:r>
          </w:p>
          <w:p w:rsidR="00E665EF" w:rsidRDefault="008005C2">
            <w:pPr>
              <w:pStyle w:val="TableRow"/>
            </w:pPr>
            <w:r>
              <w:rPr>
                <w:rStyle w:val="PlaceholderText"/>
                <w:i/>
                <w:color w:val="auto"/>
                <w:sz w:val="20"/>
                <w:szCs w:val="20"/>
              </w:rPr>
              <w:t>See the EEF recommendations summary ‘Improving Literacy in KS1’</w:t>
            </w:r>
          </w:p>
        </w:tc>
      </w:tr>
      <w:tr w:rsidR="00E665EF">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Fonts w:eastAsia="Calibri"/>
              </w:rPr>
              <w:t>Ensuring staff use evidence-based whole-class teaching interventions</w:t>
            </w:r>
          </w:p>
        </w:tc>
      </w:tr>
      <w:tr w:rsidR="00E665EF">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rFonts w:cs="Calibri"/>
                <w:sz w:val="22"/>
                <w:szCs w:val="22"/>
              </w:rPr>
            </w:pPr>
            <w:r>
              <w:rPr>
                <w:rFonts w:cs="Calibri"/>
                <w:sz w:val="22"/>
                <w:szCs w:val="22"/>
              </w:rPr>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Style w:val="PlaceholderText"/>
                <w:color w:val="auto"/>
              </w:rPr>
              <w:t>£41,122</w:t>
            </w:r>
          </w:p>
        </w:tc>
      </w:tr>
    </w:tbl>
    <w:p w:rsidR="00E665EF" w:rsidRDefault="008005C2">
      <w:pPr>
        <w:pStyle w:val="Heading2"/>
        <w:rPr>
          <w:sz w:val="24"/>
          <w:szCs w:val="24"/>
        </w:rPr>
      </w:pPr>
      <w:r>
        <w:rPr>
          <w:sz w:val="24"/>
          <w:szCs w:val="24"/>
        </w:rPr>
        <w:t>Teaching priorit</w:t>
      </w:r>
      <w:r>
        <w:rPr>
          <w:sz w:val="24"/>
          <w:szCs w:val="24"/>
        </w:rPr>
        <w:t>ies for current academic year</w:t>
      </w:r>
    </w:p>
    <w:tbl>
      <w:tblPr>
        <w:tblW w:w="9486" w:type="dxa"/>
        <w:tblCellMar>
          <w:left w:w="10" w:type="dxa"/>
          <w:right w:w="10" w:type="dxa"/>
        </w:tblCellMar>
        <w:tblLook w:val="04A0" w:firstRow="1" w:lastRow="0" w:firstColumn="1" w:lastColumn="0" w:noHBand="0" w:noVBand="1"/>
      </w:tblPr>
      <w:tblGrid>
        <w:gridCol w:w="2830"/>
        <w:gridCol w:w="4536"/>
        <w:gridCol w:w="2120"/>
      </w:tblGrid>
      <w:tr w:rsidR="00E665EF">
        <w:tblPrEx>
          <w:tblCellMar>
            <w:top w:w="0" w:type="dxa"/>
            <w:bottom w:w="0" w:type="dxa"/>
          </w:tblCellMar>
        </w:tblPrEx>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b/>
                <w:sz w:val="22"/>
                <w:szCs w:val="22"/>
              </w:rPr>
            </w:pPr>
            <w:r>
              <w:rPr>
                <w:b/>
                <w:sz w:val="22"/>
                <w:szCs w:val="22"/>
              </w:rPr>
              <w:t>Aim</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b/>
                <w:sz w:val="22"/>
                <w:szCs w:val="22"/>
              </w:rPr>
            </w:pPr>
            <w:r>
              <w:rPr>
                <w:b/>
                <w:sz w:val="22"/>
                <w:szCs w:val="22"/>
              </w:rPr>
              <w:t>Target</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b/>
                <w:sz w:val="22"/>
                <w:szCs w:val="22"/>
              </w:rPr>
            </w:pPr>
            <w:r>
              <w:rPr>
                <w:b/>
                <w:sz w:val="22"/>
                <w:szCs w:val="22"/>
              </w:rPr>
              <w:t xml:space="preserve">Target date </w:t>
            </w:r>
          </w:p>
        </w:tc>
      </w:tr>
      <w:tr w:rsidR="00E665EF">
        <w:tblPrEx>
          <w:tblCellMar>
            <w:top w:w="0" w:type="dxa"/>
            <w:bottom w:w="0" w:type="dxa"/>
          </w:tblCellMar>
        </w:tblPrEx>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Fonts w:cs="Calibri"/>
                <w:sz w:val="22"/>
                <w:szCs w:val="22"/>
              </w:rPr>
              <w:t>Progress in Reading</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t xml:space="preserve">Achieve national average progress scores in KS2 Reading </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Style w:val="PlaceholderText"/>
                <w:color w:val="auto"/>
              </w:rPr>
              <w:t>July 2022</w:t>
            </w:r>
          </w:p>
        </w:tc>
      </w:tr>
      <w:tr w:rsidR="00E665EF">
        <w:tblPrEx>
          <w:tblCellMar>
            <w:top w:w="0" w:type="dxa"/>
            <w:bottom w:w="0" w:type="dxa"/>
          </w:tblCellMar>
        </w:tblPrEx>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rFonts w:cs="Calibri"/>
                <w:sz w:val="22"/>
                <w:szCs w:val="22"/>
              </w:rPr>
            </w:pPr>
            <w:r>
              <w:rPr>
                <w:rFonts w:cs="Calibri"/>
                <w:sz w:val="22"/>
                <w:szCs w:val="22"/>
              </w:rPr>
              <w:t>Progress in Writing</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t xml:space="preserve">Achieve national average progress scores in KS2 Writing </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Style w:val="PlaceholderText"/>
                <w:color w:val="auto"/>
              </w:rPr>
              <w:t>July 2022</w:t>
            </w:r>
          </w:p>
        </w:tc>
      </w:tr>
      <w:tr w:rsidR="00E665EF">
        <w:tblPrEx>
          <w:tblCellMar>
            <w:top w:w="0" w:type="dxa"/>
            <w:bottom w:w="0" w:type="dxa"/>
          </w:tblCellMar>
        </w:tblPrEx>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Fonts w:cs="Calibri"/>
                <w:sz w:val="22"/>
                <w:szCs w:val="22"/>
              </w:rPr>
              <w:t>Progress in Mathematics</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t xml:space="preserve">Achieve national average progress scores in KS2 mathematics </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Style w:val="PlaceholderText"/>
                <w:color w:val="auto"/>
              </w:rPr>
              <w:t>July 2022</w:t>
            </w:r>
          </w:p>
        </w:tc>
      </w:tr>
      <w:tr w:rsidR="00E665EF">
        <w:tblPrEx>
          <w:tblCellMar>
            <w:top w:w="0" w:type="dxa"/>
            <w:bottom w:w="0" w:type="dxa"/>
          </w:tblCellMar>
        </w:tblPrEx>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Fonts w:cs="Calibri"/>
                <w:sz w:val="22"/>
                <w:szCs w:val="22"/>
              </w:rPr>
              <w:t>Phonics</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t>Achieve national average expected standard in PSC</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Style w:val="PlaceholderText"/>
                <w:color w:val="auto"/>
              </w:rPr>
              <w:t>July 2022</w:t>
            </w:r>
          </w:p>
        </w:tc>
      </w:tr>
      <w:tr w:rsidR="00E665EF">
        <w:tblPrEx>
          <w:tblCellMar>
            <w:top w:w="0" w:type="dxa"/>
            <w:bottom w:w="0" w:type="dxa"/>
          </w:tblCellMar>
        </w:tblPrEx>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color w:val="auto"/>
                <w:sz w:val="22"/>
                <w:szCs w:val="22"/>
              </w:rPr>
              <w:t>Other</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color w:val="auto"/>
              </w:rPr>
            </w:pPr>
            <w:r>
              <w:rPr>
                <w:color w:val="auto"/>
              </w:rPr>
              <w:t xml:space="preserve">Diversity </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Style w:val="PlaceholderText"/>
                <w:color w:val="auto"/>
              </w:rPr>
              <w:t>July 2022</w:t>
            </w:r>
          </w:p>
        </w:tc>
      </w:tr>
      <w:bookmarkEnd w:id="4"/>
    </w:tbl>
    <w:p w:rsidR="00E665EF" w:rsidRDefault="00E665EF"/>
    <w:p w:rsidR="00E665EF" w:rsidRDefault="00E665EF"/>
    <w:p w:rsidR="00E665EF" w:rsidRDefault="00E665EF"/>
    <w:p w:rsidR="00E665EF" w:rsidRDefault="00E665EF"/>
    <w:p w:rsidR="00E665EF" w:rsidRDefault="00E665EF"/>
    <w:p w:rsidR="00E665EF" w:rsidRDefault="008005C2">
      <w:pPr>
        <w:pStyle w:val="Heading2"/>
        <w:rPr>
          <w:sz w:val="24"/>
          <w:szCs w:val="24"/>
        </w:rPr>
      </w:pPr>
      <w:r>
        <w:rPr>
          <w:sz w:val="24"/>
          <w:szCs w:val="24"/>
        </w:rPr>
        <w:lastRenderedPageBreak/>
        <w:t>Targeted academic support for current academic year</w:t>
      </w:r>
    </w:p>
    <w:tbl>
      <w:tblPr>
        <w:tblW w:w="9493" w:type="dxa"/>
        <w:tblCellMar>
          <w:left w:w="10" w:type="dxa"/>
          <w:right w:w="10" w:type="dxa"/>
        </w:tblCellMar>
        <w:tblLook w:val="04A0" w:firstRow="1" w:lastRow="0" w:firstColumn="1" w:lastColumn="0" w:noHBand="0" w:noVBand="1"/>
      </w:tblPr>
      <w:tblGrid>
        <w:gridCol w:w="3539"/>
        <w:gridCol w:w="5954"/>
      </w:tblGrid>
      <w:tr w:rsidR="00E665EF">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b/>
                <w:sz w:val="22"/>
                <w:szCs w:val="22"/>
              </w:rPr>
              <w:t>Activity</w:t>
            </w:r>
          </w:p>
        </w:tc>
      </w:tr>
      <w:tr w:rsidR="00E665EF">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rFonts w:cs="Calibri"/>
                <w:sz w:val="22"/>
                <w:szCs w:val="22"/>
              </w:rPr>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numPr>
                <w:ilvl w:val="0"/>
                <w:numId w:val="24"/>
              </w:numPr>
            </w:pPr>
            <w:r>
              <w:t>Establish small group literacy and maths interventions for disadvantaged pupils falling behind age-related expectations in KS2.</w:t>
            </w:r>
          </w:p>
          <w:p w:rsidR="00E665EF" w:rsidRDefault="008005C2">
            <w:pPr>
              <w:pStyle w:val="TableRow"/>
            </w:pPr>
            <w:r>
              <w:rPr>
                <w:rStyle w:val="PlaceholderText"/>
                <w:i/>
                <w:color w:val="auto"/>
                <w:sz w:val="20"/>
                <w:szCs w:val="20"/>
              </w:rPr>
              <w:t>See the EEF recommendations summary ‘Improving Literacy in KS2’</w:t>
            </w:r>
          </w:p>
        </w:tc>
      </w:tr>
      <w:tr w:rsidR="00E665EF">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rFonts w:cs="Calibri"/>
                <w:sz w:val="22"/>
                <w:szCs w:val="22"/>
              </w:rPr>
            </w:pPr>
            <w:r>
              <w:rPr>
                <w:rFonts w:cs="Calibri"/>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numPr>
                <w:ilvl w:val="0"/>
                <w:numId w:val="24"/>
              </w:numPr>
            </w:pPr>
            <w:r>
              <w:t>Establish 1:1 phonics and small group speech and lan</w:t>
            </w:r>
            <w:r>
              <w:t>guage groups interventions in KS1 for disadvantaged pupils falling behind age-related expectations.</w:t>
            </w:r>
          </w:p>
          <w:p w:rsidR="00E665EF" w:rsidRDefault="008005C2">
            <w:pPr>
              <w:pStyle w:val="TableRow"/>
            </w:pPr>
            <w:r>
              <w:rPr>
                <w:rStyle w:val="PlaceholderText"/>
                <w:i/>
                <w:color w:val="auto"/>
                <w:sz w:val="20"/>
                <w:szCs w:val="20"/>
              </w:rPr>
              <w:t>See the EEF recommendations summary ‘Improving Literacy in KS1’</w:t>
            </w:r>
          </w:p>
        </w:tc>
      </w:tr>
      <w:tr w:rsidR="00E665EF">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Style w:val="PlaceholderText"/>
                <w:color w:val="0D0D0D"/>
              </w:rPr>
              <w:t>Children are ready to learn and able to acces</w:t>
            </w:r>
            <w:r>
              <w:rPr>
                <w:rStyle w:val="PlaceholderText"/>
                <w:color w:val="0D0D0D"/>
              </w:rPr>
              <w:t>s the class curriculum with accuracy and confidence.</w:t>
            </w:r>
          </w:p>
        </w:tc>
      </w:tr>
      <w:tr w:rsidR="00E665EF">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rPr>
                <w:rFonts w:cs="Calibri"/>
                <w:sz w:val="22"/>
                <w:szCs w:val="22"/>
              </w:rPr>
            </w:pPr>
            <w:r>
              <w:rPr>
                <w:rFonts w:cs="Calibri"/>
                <w:sz w:val="22"/>
                <w:szCs w:val="22"/>
              </w:rPr>
              <w:t>Projected spending</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665EF" w:rsidRDefault="008005C2">
            <w:pPr>
              <w:pStyle w:val="TableRow"/>
            </w:pPr>
            <w:r>
              <w:rPr>
                <w:rStyle w:val="PlaceholderText"/>
                <w:color w:val="auto"/>
              </w:rPr>
              <w:t xml:space="preserve">£34,680 </w:t>
            </w:r>
          </w:p>
        </w:tc>
      </w:tr>
    </w:tbl>
    <w:p w:rsidR="00E665EF" w:rsidRDefault="008005C2">
      <w:pPr>
        <w:pStyle w:val="Heading2"/>
        <w:rPr>
          <w:sz w:val="24"/>
          <w:szCs w:val="24"/>
        </w:rPr>
      </w:pPr>
      <w:r>
        <w:rPr>
          <w:sz w:val="24"/>
          <w:szCs w:val="24"/>
        </w:rPr>
        <w:t>Wider strategies for current academic year</w:t>
      </w:r>
    </w:p>
    <w:tbl>
      <w:tblPr>
        <w:tblW w:w="9493" w:type="dxa"/>
        <w:tblCellMar>
          <w:left w:w="10" w:type="dxa"/>
          <w:right w:w="10" w:type="dxa"/>
        </w:tblCellMar>
        <w:tblLook w:val="04A0" w:firstRow="1" w:lastRow="0" w:firstColumn="1" w:lastColumn="0" w:noHBand="0" w:noVBand="1"/>
      </w:tblPr>
      <w:tblGrid>
        <w:gridCol w:w="3539"/>
        <w:gridCol w:w="5954"/>
      </w:tblGrid>
      <w:tr w:rsidR="00E665E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rPr>
                <w:b/>
                <w:sz w:val="22"/>
                <w:szCs w:val="22"/>
              </w:rPr>
            </w:pPr>
            <w:r>
              <w:rPr>
                <w:b/>
                <w:sz w:val="22"/>
                <w:szCs w:val="22"/>
              </w:rPr>
              <w:t>Measure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rPr>
                <w:b/>
                <w:sz w:val="22"/>
                <w:szCs w:val="22"/>
              </w:rPr>
            </w:pPr>
            <w:r>
              <w:rPr>
                <w:b/>
                <w:sz w:val="22"/>
                <w:szCs w:val="22"/>
              </w:rPr>
              <w:t>Activity</w:t>
            </w:r>
          </w:p>
        </w:tc>
      </w:tr>
      <w:tr w:rsidR="00E665E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ind w:left="0"/>
              <w:rPr>
                <w:rFonts w:cs="Calibri"/>
                <w:sz w:val="22"/>
                <w:szCs w:val="22"/>
              </w:rPr>
            </w:pPr>
            <w:r>
              <w:rPr>
                <w:rFonts w:cs="Calibri"/>
                <w:sz w:val="22"/>
                <w:szCs w:val="22"/>
              </w:rPr>
              <w:t>Priority 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numPr>
                <w:ilvl w:val="0"/>
                <w:numId w:val="25"/>
              </w:numPr>
            </w:pPr>
            <w:r>
              <w:t>To provide family support to disadvantaged families by providing funded places for breakfast club and</w:t>
            </w:r>
            <w:r>
              <w:t xml:space="preserve"> after school club, access to trips, residential and music lessons.</w:t>
            </w:r>
          </w:p>
          <w:p w:rsidR="00E665EF" w:rsidRDefault="008005C2">
            <w:pPr>
              <w:pStyle w:val="TableRow"/>
            </w:pPr>
            <w:r>
              <w:rPr>
                <w:rStyle w:val="PlaceholderText"/>
                <w:i/>
                <w:color w:val="auto"/>
                <w:sz w:val="20"/>
                <w:szCs w:val="20"/>
              </w:rPr>
              <w:t xml:space="preserve">See the EEF recommendations that: ‘enriching education has intrinsic benefits as children deserve a well-rounded, culturally rich, education which can directly improve </w:t>
            </w:r>
            <w:proofErr w:type="gramStart"/>
            <w:r>
              <w:rPr>
                <w:rStyle w:val="PlaceholderText"/>
                <w:i/>
                <w:color w:val="auto"/>
                <w:sz w:val="20"/>
                <w:szCs w:val="20"/>
              </w:rPr>
              <w:t>pupils</w:t>
            </w:r>
            <w:proofErr w:type="gramEnd"/>
            <w:r>
              <w:rPr>
                <w:rStyle w:val="PlaceholderText"/>
                <w:i/>
                <w:color w:val="auto"/>
                <w:sz w:val="20"/>
                <w:szCs w:val="20"/>
              </w:rPr>
              <w:t xml:space="preserve"> attainments.</w:t>
            </w:r>
          </w:p>
          <w:p w:rsidR="00E665EF" w:rsidRDefault="008005C2">
            <w:pPr>
              <w:pStyle w:val="TableRow"/>
            </w:pPr>
            <w:r>
              <w:rPr>
                <w:rStyle w:val="PlaceholderText"/>
                <w:i/>
                <w:color w:val="auto"/>
                <w:sz w:val="20"/>
                <w:szCs w:val="20"/>
              </w:rPr>
              <w:t>And</w:t>
            </w:r>
          </w:p>
          <w:p w:rsidR="00E665EF" w:rsidRDefault="008005C2">
            <w:pPr>
              <w:pStyle w:val="TableRow"/>
            </w:pPr>
            <w:r>
              <w:rPr>
                <w:rStyle w:val="PlaceholderText"/>
                <w:i/>
                <w:color w:val="auto"/>
                <w:sz w:val="20"/>
                <w:szCs w:val="20"/>
              </w:rPr>
              <w:t>The Nuffield Foundation study found taking part in activities after the formal school day could play a role in closing the attainment gap.’</w:t>
            </w:r>
          </w:p>
          <w:p w:rsidR="00E665EF" w:rsidRDefault="008005C2">
            <w:pPr>
              <w:pStyle w:val="TableRow"/>
              <w:numPr>
                <w:ilvl w:val="0"/>
                <w:numId w:val="25"/>
              </w:numPr>
            </w:pPr>
            <w:r>
              <w:t>Access to a learning mentor and other identified TAs to support children emotionally.</w:t>
            </w:r>
          </w:p>
          <w:p w:rsidR="00E665EF" w:rsidRDefault="008005C2">
            <w:pPr>
              <w:pStyle w:val="TableRow"/>
              <w:numPr>
                <w:ilvl w:val="0"/>
                <w:numId w:val="25"/>
              </w:numPr>
            </w:pPr>
            <w:r>
              <w:t>Learning mentor to support</w:t>
            </w:r>
            <w:r>
              <w:t xml:space="preserve"> families with (1) mental health issues (2) who are in temporary housing (3) families finding the cost of traveling to school impacting on attendance and punctuality. (4) Enabling pupils to attend school and receive a hot meal.</w:t>
            </w:r>
          </w:p>
          <w:p w:rsidR="00E665EF" w:rsidRDefault="008005C2">
            <w:pPr>
              <w:pStyle w:val="TableRow"/>
            </w:pPr>
            <w:r>
              <w:rPr>
                <w:i/>
                <w:sz w:val="20"/>
                <w:szCs w:val="20"/>
              </w:rPr>
              <w:t>DFE research (2012) establis</w:t>
            </w:r>
            <w:r>
              <w:rPr>
                <w:i/>
                <w:sz w:val="20"/>
                <w:szCs w:val="20"/>
              </w:rPr>
              <w:t xml:space="preserve">hed a clear link between attendance and low attainment and NFER Briefing for School Leaders research detailed schools promoting high attainment identified attendance as a factor and </w:t>
            </w:r>
            <w:proofErr w:type="gramStart"/>
            <w:r>
              <w:rPr>
                <w:i/>
                <w:sz w:val="20"/>
                <w:szCs w:val="20"/>
              </w:rPr>
              <w:t>suggested  ‘</w:t>
            </w:r>
            <w:proofErr w:type="gramEnd"/>
            <w:r>
              <w:rPr>
                <w:i/>
                <w:sz w:val="20"/>
                <w:szCs w:val="20"/>
              </w:rPr>
              <w:t xml:space="preserve">They also have strong social and emotional support strategies </w:t>
            </w:r>
            <w:r>
              <w:rPr>
                <w:i/>
                <w:sz w:val="20"/>
                <w:szCs w:val="20"/>
              </w:rPr>
              <w:t>to help pupils in need of additional support, including through working with their families. Similarly, more successful schools set up rapid response systems to address poor attendance. This includes staff contacting home immediately a pupil fails to arriv</w:t>
            </w:r>
            <w:r>
              <w:rPr>
                <w:i/>
                <w:sz w:val="20"/>
                <w:szCs w:val="20"/>
              </w:rPr>
              <w:t>e on time. If the problem persists,</w:t>
            </w:r>
            <w:r>
              <w:t xml:space="preserve"> </w:t>
            </w:r>
            <w:r>
              <w:rPr>
                <w:i/>
                <w:sz w:val="20"/>
                <w:szCs w:val="20"/>
              </w:rPr>
              <w:t xml:space="preserve">staff work with families </w:t>
            </w:r>
            <w:r>
              <w:rPr>
                <w:i/>
                <w:sz w:val="20"/>
                <w:szCs w:val="20"/>
              </w:rPr>
              <w:lastRenderedPageBreak/>
              <w:t xml:space="preserve">to address any </w:t>
            </w:r>
            <w:proofErr w:type="gramStart"/>
            <w:r>
              <w:rPr>
                <w:i/>
                <w:sz w:val="20"/>
                <w:szCs w:val="20"/>
              </w:rPr>
              <w:t>barriers</w:t>
            </w:r>
            <w:proofErr w:type="gramEnd"/>
            <w:r>
              <w:rPr>
                <w:i/>
                <w:sz w:val="20"/>
                <w:szCs w:val="20"/>
              </w:rPr>
              <w:t xml:space="preserve"> they face in getting their children to school.’</w:t>
            </w:r>
          </w:p>
        </w:tc>
      </w:tr>
      <w:tr w:rsidR="00E665E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ind w:left="0"/>
              <w:rPr>
                <w:rFonts w:cs="Calibri"/>
                <w:sz w:val="22"/>
                <w:szCs w:val="22"/>
              </w:rPr>
            </w:pPr>
            <w:r>
              <w:rPr>
                <w:rFonts w:cs="Calibri"/>
                <w:sz w:val="22"/>
                <w:szCs w:val="22"/>
              </w:rPr>
              <w:lastRenderedPageBreak/>
              <w:t>Priority 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numPr>
                <w:ilvl w:val="0"/>
                <w:numId w:val="26"/>
              </w:numPr>
            </w:pPr>
            <w:r>
              <w:t xml:space="preserve">To ensure our current curriculum and resources e.g. representation in books, for our disadvantaged BAME </w:t>
            </w:r>
            <w:r>
              <w:t xml:space="preserve">children to be exposed to enough positive narratives about their colour so to impact on their sense of self and their achievements. Disadvantaged BAME pupils have their history, cultures and legacy appreciated and recognised impacting on their </w:t>
            </w:r>
            <w:proofErr w:type="spellStart"/>
            <w:r>
              <w:t>self esteem</w:t>
            </w:r>
            <w:proofErr w:type="spellEnd"/>
            <w:r>
              <w:t>,</w:t>
            </w:r>
            <w:r>
              <w:t xml:space="preserve"> aspirations and achievement.</w:t>
            </w:r>
          </w:p>
          <w:p w:rsidR="00E665EF" w:rsidRDefault="008005C2">
            <w:pPr>
              <w:pStyle w:val="TableRow"/>
              <w:rPr>
                <w:i/>
                <w:sz w:val="20"/>
                <w:szCs w:val="20"/>
              </w:rPr>
            </w:pPr>
            <w:r>
              <w:rPr>
                <w:i/>
                <w:sz w:val="20"/>
                <w:szCs w:val="20"/>
              </w:rPr>
              <w:t>‘While there are a number of factors that can impact pupil outcomes, not being able to see yourself or your context reflected in what you learn, or seeing negative portrayals of yourself, can act as a significant barrier to le</w:t>
            </w:r>
            <w:r>
              <w:rPr>
                <w:i/>
                <w:sz w:val="20"/>
                <w:szCs w:val="20"/>
              </w:rPr>
              <w:t xml:space="preserve">arning. Research commissioned by National Education Union (NEU) found that pupils who have a ‘sense of belonging’ in schools tend to perform better academically, as well as be happier and more confident.’ Diversity and Inclusion in schools report </w:t>
            </w:r>
            <w:proofErr w:type="spellStart"/>
            <w:r>
              <w:rPr>
                <w:i/>
                <w:sz w:val="20"/>
                <w:szCs w:val="20"/>
              </w:rPr>
              <w:t>PearsonEd</w:t>
            </w:r>
            <w:r>
              <w:rPr>
                <w:i/>
                <w:sz w:val="20"/>
                <w:szCs w:val="20"/>
              </w:rPr>
              <w:t>ucation</w:t>
            </w:r>
            <w:proofErr w:type="spellEnd"/>
            <w:r>
              <w:rPr>
                <w:i/>
                <w:sz w:val="20"/>
                <w:szCs w:val="20"/>
              </w:rPr>
              <w:t xml:space="preserve"> 2020</w:t>
            </w:r>
          </w:p>
        </w:tc>
      </w:tr>
      <w:tr w:rsidR="00E665E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ind w:left="0"/>
              <w:rPr>
                <w:rFonts w:cs="Calibri"/>
                <w:sz w:val="22"/>
                <w:szCs w:val="22"/>
              </w:rPr>
            </w:pPr>
            <w:r>
              <w:rPr>
                <w:rFonts w:cs="Calibri"/>
                <w:sz w:val="22"/>
                <w:szCs w:val="22"/>
              </w:rPr>
              <w:t>Priority 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numPr>
                <w:ilvl w:val="0"/>
                <w:numId w:val="26"/>
              </w:numPr>
            </w:pPr>
            <w:r>
              <w:t xml:space="preserve">To ensure the availability for outreach services such as Education Psychologist, Drumbeat, Outreach Inclusion Services and an Art Therapist to support pupils in achieving their very best by offering them support to maintain good </w:t>
            </w:r>
            <w:r>
              <w:t>behaviour for learning, support good mental health and access services critical to their individual needs.</w:t>
            </w:r>
          </w:p>
          <w:p w:rsidR="00E665EF" w:rsidRDefault="008005C2">
            <w:pPr>
              <w:pStyle w:val="TableRow"/>
            </w:pPr>
            <w:r>
              <w:rPr>
                <w:rFonts w:cs="Arial"/>
                <w:i/>
                <w:color w:val="263238"/>
                <w:sz w:val="20"/>
                <w:szCs w:val="20"/>
                <w:shd w:val="clear" w:color="auto" w:fill="FFFFFF"/>
              </w:rPr>
              <w:t>EEF Toolkit: ‘Evidence suggests that children from disadvantaged backgrounds have, on average, weaker SEL skills at all ages than their more affluent</w:t>
            </w:r>
            <w:r>
              <w:rPr>
                <w:rFonts w:cs="Arial"/>
                <w:i/>
                <w:color w:val="263238"/>
                <w:sz w:val="20"/>
                <w:szCs w:val="20"/>
                <w:shd w:val="clear" w:color="auto" w:fill="FFFFFF"/>
              </w:rPr>
              <w:t xml:space="preserve"> peers. These skills are likely to influence a range of outcomes for pupils: lower SEL skills are linked with poorer mental health and lower academic attainment.</w:t>
            </w:r>
            <w:r>
              <w:rPr>
                <w:rFonts w:cs="Arial"/>
                <w:i/>
                <w:color w:val="263238"/>
                <w:sz w:val="20"/>
                <w:szCs w:val="20"/>
              </w:rPr>
              <w:br/>
            </w:r>
            <w:r>
              <w:rPr>
                <w:rFonts w:cs="Arial"/>
                <w:i/>
                <w:color w:val="263238"/>
                <w:sz w:val="20"/>
                <w:szCs w:val="20"/>
                <w:shd w:val="clear" w:color="auto" w:fill="FFFFFF"/>
              </w:rPr>
              <w:t>SEL interventions in education are shown to improve SEL skills and are therefore likely to sup</w:t>
            </w:r>
            <w:r>
              <w:rPr>
                <w:rFonts w:cs="Arial"/>
                <w:i/>
                <w:color w:val="263238"/>
                <w:sz w:val="20"/>
                <w:szCs w:val="20"/>
                <w:shd w:val="clear" w:color="auto" w:fill="FFFFFF"/>
              </w:rPr>
              <w:t>port disadvantaged pupils to understand and engage in healthy relationships with peers and emotional self-regulation, both of which may subsequently increase academic attainment.’</w:t>
            </w:r>
          </w:p>
        </w:tc>
      </w:tr>
      <w:tr w:rsidR="00E665E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ind w:left="0"/>
              <w:rPr>
                <w:rFonts w:cs="Calibri"/>
                <w:sz w:val="22"/>
                <w:szCs w:val="22"/>
              </w:rPr>
            </w:pPr>
            <w:r>
              <w:rPr>
                <w:rFonts w:cs="Calibri"/>
                <w:sz w:val="22"/>
                <w:szCs w:val="22"/>
              </w:rPr>
              <w:t>Barriers to learning these priorities 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pPr>
            <w:r>
              <w:t>Improving attendance and read</w:t>
            </w:r>
            <w:r>
              <w:t>iness to learn for the most disadvantaged pupils</w:t>
            </w:r>
          </w:p>
        </w:tc>
      </w:tr>
      <w:tr w:rsidR="00E665EF">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ind w:left="0"/>
              <w:rPr>
                <w:rFonts w:cs="Calibri"/>
                <w:sz w:val="22"/>
                <w:szCs w:val="22"/>
              </w:rPr>
            </w:pPr>
            <w:r>
              <w:rPr>
                <w:rFonts w:cs="Calibri"/>
                <w:sz w:val="22"/>
                <w:szCs w:val="22"/>
              </w:rPr>
              <w:t>Projected spending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pPr>
            <w:r>
              <w:rPr>
                <w:rStyle w:val="PlaceholderText"/>
                <w:color w:val="auto"/>
              </w:rPr>
              <w:t>£30,453</w:t>
            </w:r>
          </w:p>
        </w:tc>
      </w:tr>
    </w:tbl>
    <w:p w:rsidR="00E665EF" w:rsidRDefault="00E665EF">
      <w:pPr>
        <w:pStyle w:val="Heading2"/>
        <w:rPr>
          <w:sz w:val="24"/>
          <w:szCs w:val="24"/>
        </w:rPr>
      </w:pPr>
    </w:p>
    <w:p w:rsidR="00E665EF" w:rsidRDefault="00E665EF"/>
    <w:p w:rsidR="00E665EF" w:rsidRDefault="00E665EF"/>
    <w:p w:rsidR="00E665EF" w:rsidRDefault="008005C2">
      <w:pPr>
        <w:pStyle w:val="Heading2"/>
        <w:rPr>
          <w:sz w:val="24"/>
          <w:szCs w:val="24"/>
        </w:rPr>
      </w:pPr>
      <w:r>
        <w:rPr>
          <w:sz w:val="24"/>
          <w:szCs w:val="24"/>
        </w:rPr>
        <w:lastRenderedPageBreak/>
        <w:t>Monitoring and Implementation</w:t>
      </w:r>
    </w:p>
    <w:tbl>
      <w:tblPr>
        <w:tblW w:w="9493" w:type="dxa"/>
        <w:tblCellMar>
          <w:left w:w="10" w:type="dxa"/>
          <w:right w:w="10" w:type="dxa"/>
        </w:tblCellMar>
        <w:tblLook w:val="04A0" w:firstRow="1" w:lastRow="0" w:firstColumn="1" w:lastColumn="0" w:noHBand="0" w:noVBand="1"/>
      </w:tblPr>
      <w:tblGrid>
        <w:gridCol w:w="1980"/>
        <w:gridCol w:w="3685"/>
        <w:gridCol w:w="3828"/>
      </w:tblGrid>
      <w:tr w:rsidR="00E665EF">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rPr>
                <w:b/>
                <w:sz w:val="22"/>
                <w:szCs w:val="22"/>
              </w:rPr>
            </w:pPr>
            <w:r>
              <w:rPr>
                <w:b/>
                <w:sz w:val="22"/>
                <w:szCs w:val="22"/>
              </w:rPr>
              <w:t>Area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rPr>
                <w:b/>
                <w:szCs w:val="22"/>
              </w:rPr>
            </w:pPr>
            <w:r>
              <w:rPr>
                <w:b/>
                <w:szCs w:val="22"/>
              </w:rPr>
              <w:t>Challenge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rPr>
                <w:b/>
                <w:szCs w:val="22"/>
              </w:rPr>
            </w:pPr>
            <w:r>
              <w:rPr>
                <w:b/>
                <w:szCs w:val="22"/>
              </w:rPr>
              <w:t>Mitigating action</w:t>
            </w:r>
          </w:p>
        </w:tc>
      </w:tr>
      <w:tr w:rsidR="00E665EF">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ind w:left="0"/>
              <w:rPr>
                <w:rFonts w:cs="Calibri"/>
                <w:sz w:val="22"/>
                <w:szCs w:val="22"/>
              </w:rPr>
            </w:pPr>
            <w:r>
              <w:rPr>
                <w:rFonts w:cs="Calibri"/>
                <w:sz w:val="22"/>
                <w:szCs w:val="22"/>
              </w:rPr>
              <w:t>Teaching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pPr>
            <w:r>
              <w:t>Ensuring enough time is given to allow for staff professional development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pPr>
            <w:r>
              <w:t xml:space="preserve">Use of INSET days and </w:t>
            </w:r>
            <w:r>
              <w:t>additional cover being provided by HLTA and senior leaders.</w:t>
            </w:r>
          </w:p>
        </w:tc>
      </w:tr>
      <w:tr w:rsidR="00E665EF">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ind w:left="0"/>
              <w:rPr>
                <w:rFonts w:cs="Calibri"/>
                <w:sz w:val="22"/>
                <w:szCs w:val="22"/>
              </w:rPr>
            </w:pPr>
            <w:r>
              <w:rPr>
                <w:rFonts w:cs="Calibri"/>
                <w:sz w:val="22"/>
                <w:szCs w:val="22"/>
              </w:rPr>
              <w:t>Targeted 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pPr>
            <w:r>
              <w:t xml:space="preserve">Ensuring intervention groups are carefully selected, timetabled and monitored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ind w:left="0"/>
            </w:pPr>
            <w:r>
              <w:t>Identified staff timetables to carryout interventions.                    SLT to monitor.</w:t>
            </w:r>
          </w:p>
        </w:tc>
      </w:tr>
      <w:tr w:rsidR="00E665EF">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ind w:left="0"/>
              <w:rPr>
                <w:rFonts w:cs="Calibri"/>
                <w:sz w:val="22"/>
                <w:szCs w:val="22"/>
              </w:rPr>
            </w:pPr>
            <w:r>
              <w:rPr>
                <w:rFonts w:cs="Calibri"/>
                <w:sz w:val="22"/>
                <w:szCs w:val="22"/>
              </w:rPr>
              <w:t xml:space="preserve">Wider </w:t>
            </w:r>
            <w:r>
              <w:rPr>
                <w:rFonts w:cs="Calibri"/>
                <w:sz w:val="22"/>
                <w:szCs w:val="22"/>
              </w:rPr>
              <w:t>strategies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pPr>
            <w:r>
              <w:t>Engaging the families facing most challenges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pPr>
            <w:r>
              <w:t xml:space="preserve">Working closely with the LA and other agencies </w:t>
            </w:r>
            <w:proofErr w:type="spellStart"/>
            <w:r>
              <w:t>eg</w:t>
            </w:r>
            <w:proofErr w:type="spellEnd"/>
            <w:r>
              <w:t>: Magic Breakfast etc to provide support</w:t>
            </w:r>
          </w:p>
        </w:tc>
      </w:tr>
    </w:tbl>
    <w:p w:rsidR="00E665EF" w:rsidRDefault="008005C2">
      <w:pPr>
        <w:pStyle w:val="Heading2"/>
        <w:rPr>
          <w:sz w:val="24"/>
          <w:szCs w:val="24"/>
        </w:rPr>
      </w:pPr>
      <w:r>
        <w:rPr>
          <w:sz w:val="24"/>
          <w:szCs w:val="24"/>
        </w:rPr>
        <w:t>Review: last year’s aims and outcomes</w:t>
      </w:r>
    </w:p>
    <w:tbl>
      <w:tblPr>
        <w:tblW w:w="9486" w:type="dxa"/>
        <w:tblCellMar>
          <w:left w:w="10" w:type="dxa"/>
          <w:right w:w="10" w:type="dxa"/>
        </w:tblCellMar>
        <w:tblLook w:val="04A0" w:firstRow="1" w:lastRow="0" w:firstColumn="1" w:lastColumn="0" w:noHBand="0" w:noVBand="1"/>
      </w:tblPr>
      <w:tblGrid>
        <w:gridCol w:w="4743"/>
        <w:gridCol w:w="4743"/>
      </w:tblGrid>
      <w:tr w:rsidR="00E665EF">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rPr>
                <w:b/>
                <w:sz w:val="22"/>
                <w:szCs w:val="22"/>
              </w:rPr>
            </w:pPr>
            <w:r>
              <w:rPr>
                <w:b/>
                <w:sz w:val="22"/>
                <w:szCs w:val="22"/>
              </w:rPr>
              <w:t>Outcome</w:t>
            </w:r>
          </w:p>
        </w:tc>
      </w:tr>
      <w:tr w:rsidR="00E665EF">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pPr>
            <w:r>
              <w:rPr>
                <w:rFonts w:cs="Calibri"/>
              </w:rPr>
              <w:t>Progress in Reading and Writing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pPr>
            <w:r>
              <w:t xml:space="preserve">Results have declined </w:t>
            </w:r>
            <w:r>
              <w:t xml:space="preserve">since last year. As a </w:t>
            </w:r>
            <w:proofErr w:type="gramStart"/>
            <w:r>
              <w:t>result</w:t>
            </w:r>
            <w:proofErr w:type="gramEnd"/>
            <w:r>
              <w:t xml:space="preserve"> 1:1 interventions have been put in place along with a recovery curriculum to accelerate learning.</w:t>
            </w:r>
          </w:p>
        </w:tc>
      </w:tr>
      <w:tr w:rsidR="00E665EF">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pPr>
            <w:r>
              <w:rPr>
                <w:rFonts w:cs="Calibri"/>
              </w:rPr>
              <w:t>Progress in Mathematics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pPr>
            <w:r>
              <w:t>Results have declined since last year. As a result, mastery will be embedded across the school, to ensur</w:t>
            </w:r>
            <w:r>
              <w:t xml:space="preserve">e we meet the aim. </w:t>
            </w:r>
          </w:p>
        </w:tc>
      </w:tr>
      <w:tr w:rsidR="00E665EF">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pPr>
            <w:r>
              <w:rPr>
                <w:rFonts w:cs="Calibri"/>
              </w:rPr>
              <w:t>Phonics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pPr>
            <w:r>
              <w:rPr>
                <w:color w:val="auto"/>
              </w:rPr>
              <w:t>Screening deferred to late 2021 by government. New aim of disadvantaged pupils meeting national average for all pupils by September 2021.</w:t>
            </w:r>
          </w:p>
        </w:tc>
      </w:tr>
      <w:tr w:rsidR="00E665EF">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EF" w:rsidRDefault="008005C2">
            <w:pPr>
              <w:pStyle w:val="TableRow"/>
            </w:pPr>
            <w:r>
              <w:rPr>
                <w:rFonts w:cs="Calibri"/>
              </w:rPr>
              <w:t>Other</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EF" w:rsidRDefault="008005C2">
            <w:pPr>
              <w:pStyle w:val="TableRow"/>
            </w:pPr>
            <w:r>
              <w:t xml:space="preserve">Attendance figures unmeasurable due to COVID however pastoral support given to </w:t>
            </w:r>
            <w:r>
              <w:t>families far exceeded previous years and was effective in ensuring children had access to online learning, food parcels and mental health support.</w:t>
            </w:r>
          </w:p>
        </w:tc>
      </w:tr>
    </w:tbl>
    <w:p w:rsidR="00E665EF" w:rsidRDefault="008005C2">
      <w:r>
        <w:rPr>
          <w:b/>
          <w:color w:val="104F75"/>
        </w:rPr>
        <w:t xml:space="preserve"> </w:t>
      </w:r>
    </w:p>
    <w:sectPr w:rsidR="00E665EF">
      <w:footerReference w:type="default" r:id="rId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005C2">
      <w:pPr>
        <w:spacing w:after="0" w:line="240" w:lineRule="auto"/>
      </w:pPr>
      <w:r>
        <w:separator/>
      </w:r>
    </w:p>
  </w:endnote>
  <w:endnote w:type="continuationSeparator" w:id="0">
    <w:p w:rsidR="00000000" w:rsidRDefault="0080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A79" w:rsidRDefault="008005C2">
    <w:pPr>
      <w:pStyle w:val="Footer"/>
      <w:ind w:firstLine="4513"/>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005C2">
      <w:pPr>
        <w:spacing w:after="0" w:line="240" w:lineRule="auto"/>
      </w:pPr>
      <w:r>
        <w:separator/>
      </w:r>
    </w:p>
  </w:footnote>
  <w:footnote w:type="continuationSeparator" w:id="0">
    <w:p w:rsidR="00000000" w:rsidRDefault="00800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729"/>
    <w:multiLevelType w:val="multilevel"/>
    <w:tmpl w:val="61E0630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 w15:restartNumberingAfterBreak="0">
    <w:nsid w:val="118B3D37"/>
    <w:multiLevelType w:val="multilevel"/>
    <w:tmpl w:val="7012F37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211217"/>
    <w:multiLevelType w:val="multilevel"/>
    <w:tmpl w:val="4C301FE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7726EC"/>
    <w:multiLevelType w:val="multilevel"/>
    <w:tmpl w:val="A7B8C17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1F7758E0"/>
    <w:multiLevelType w:val="multilevel"/>
    <w:tmpl w:val="C644932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214703"/>
    <w:multiLevelType w:val="multilevel"/>
    <w:tmpl w:val="06F432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9085F00"/>
    <w:multiLevelType w:val="multilevel"/>
    <w:tmpl w:val="79540F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92F37B4"/>
    <w:multiLevelType w:val="multilevel"/>
    <w:tmpl w:val="7A7E8FB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9AC653B"/>
    <w:multiLevelType w:val="multilevel"/>
    <w:tmpl w:val="BAE8F68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A053362"/>
    <w:multiLevelType w:val="multilevel"/>
    <w:tmpl w:val="D64CDA6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D014018"/>
    <w:multiLevelType w:val="multilevel"/>
    <w:tmpl w:val="2ACEAF1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F3D7141"/>
    <w:multiLevelType w:val="multilevel"/>
    <w:tmpl w:val="347013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7753E84"/>
    <w:multiLevelType w:val="multilevel"/>
    <w:tmpl w:val="435694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80B4612"/>
    <w:multiLevelType w:val="multilevel"/>
    <w:tmpl w:val="A9D01F0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8B401E7"/>
    <w:multiLevelType w:val="multilevel"/>
    <w:tmpl w:val="452E72E6"/>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35D79B8"/>
    <w:multiLevelType w:val="multilevel"/>
    <w:tmpl w:val="BDAE5676"/>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52C5E86"/>
    <w:multiLevelType w:val="multilevel"/>
    <w:tmpl w:val="EE92DA26"/>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5AD3A0E"/>
    <w:multiLevelType w:val="multilevel"/>
    <w:tmpl w:val="BEA2E17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99528EA"/>
    <w:multiLevelType w:val="multilevel"/>
    <w:tmpl w:val="93A2197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E764131"/>
    <w:multiLevelType w:val="multilevel"/>
    <w:tmpl w:val="76DAEF2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E874555"/>
    <w:multiLevelType w:val="multilevel"/>
    <w:tmpl w:val="0CF67940"/>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56007D23"/>
    <w:multiLevelType w:val="multilevel"/>
    <w:tmpl w:val="E722A694"/>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2" w15:restartNumberingAfterBreak="0">
    <w:nsid w:val="58A20825"/>
    <w:multiLevelType w:val="multilevel"/>
    <w:tmpl w:val="4316EFF6"/>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1084B14"/>
    <w:multiLevelType w:val="multilevel"/>
    <w:tmpl w:val="01DC940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D5C405C"/>
    <w:multiLevelType w:val="multilevel"/>
    <w:tmpl w:val="75BC4DD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2C41423"/>
    <w:multiLevelType w:val="multilevel"/>
    <w:tmpl w:val="5E2A041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num w:numId="1">
    <w:abstractNumId w:val="22"/>
  </w:num>
  <w:num w:numId="2">
    <w:abstractNumId w:val="8"/>
  </w:num>
  <w:num w:numId="3">
    <w:abstractNumId w:val="23"/>
  </w:num>
  <w:num w:numId="4">
    <w:abstractNumId w:val="16"/>
  </w:num>
  <w:num w:numId="5">
    <w:abstractNumId w:val="18"/>
  </w:num>
  <w:num w:numId="6">
    <w:abstractNumId w:val="2"/>
  </w:num>
  <w:num w:numId="7">
    <w:abstractNumId w:val="4"/>
  </w:num>
  <w:num w:numId="8">
    <w:abstractNumId w:val="13"/>
  </w:num>
  <w:num w:numId="9">
    <w:abstractNumId w:val="17"/>
  </w:num>
  <w:num w:numId="10">
    <w:abstractNumId w:val="1"/>
  </w:num>
  <w:num w:numId="11">
    <w:abstractNumId w:val="19"/>
  </w:num>
  <w:num w:numId="12">
    <w:abstractNumId w:val="12"/>
  </w:num>
  <w:num w:numId="13">
    <w:abstractNumId w:val="24"/>
  </w:num>
  <w:num w:numId="14">
    <w:abstractNumId w:val="9"/>
  </w:num>
  <w:num w:numId="15">
    <w:abstractNumId w:val="7"/>
  </w:num>
  <w:num w:numId="16">
    <w:abstractNumId w:val="14"/>
  </w:num>
  <w:num w:numId="17">
    <w:abstractNumId w:val="15"/>
  </w:num>
  <w:num w:numId="18">
    <w:abstractNumId w:val="5"/>
  </w:num>
  <w:num w:numId="19">
    <w:abstractNumId w:val="10"/>
  </w:num>
  <w:num w:numId="20">
    <w:abstractNumId w:val="20"/>
  </w:num>
  <w:num w:numId="21">
    <w:abstractNumId w:val="3"/>
  </w:num>
  <w:num w:numId="22">
    <w:abstractNumId w:val="6"/>
  </w:num>
  <w:num w:numId="23">
    <w:abstractNumId w:val="11"/>
  </w:num>
  <w:num w:numId="24">
    <w:abstractNumId w:val="0"/>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665EF"/>
    <w:rsid w:val="008005C2"/>
    <w:rsid w:val="00E6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0639B-766E-41A7-A59A-1465950E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5"/>
      </w:numPr>
    </w:pPr>
  </w:style>
  <w:style w:type="paragraph" w:styleId="ListParagraph">
    <w:name w:val="List Paragraph"/>
    <w:basedOn w:val="Normal"/>
    <w:pPr>
      <w:numPr>
        <w:numId w:val="1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7"/>
      </w:numPr>
      <w:tabs>
        <w:tab w:val="left" w:pos="-658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8"/>
      </w:numPr>
    </w:pPr>
  </w:style>
  <w:style w:type="paragraph" w:customStyle="1" w:styleId="DfESOutNumbered">
    <w:name w:val="DfESOutNumbered"/>
    <w:basedOn w:val="Normal"/>
    <w:pPr>
      <w:widowControl w:val="0"/>
      <w:numPr>
        <w:numId w:val="2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4">
    <w:name w:val="LFO4"/>
    <w:basedOn w:val="NoList"/>
    <w:pPr>
      <w:numPr>
        <w:numId w:val="15"/>
      </w:numPr>
    </w:pPr>
  </w:style>
  <w:style w:type="numbering" w:customStyle="1" w:styleId="LFO6">
    <w:name w:val="LFO6"/>
    <w:basedOn w:val="NoList"/>
    <w:pPr>
      <w:numPr>
        <w:numId w:val="16"/>
      </w:numPr>
    </w:pPr>
  </w:style>
  <w:style w:type="numbering" w:customStyle="1" w:styleId="LFO9">
    <w:name w:val="LFO9"/>
    <w:basedOn w:val="NoList"/>
    <w:pPr>
      <w:numPr>
        <w:numId w:val="17"/>
      </w:numPr>
    </w:pPr>
  </w:style>
  <w:style w:type="numbering" w:customStyle="1" w:styleId="LFO10">
    <w:name w:val="LFO10"/>
    <w:basedOn w:val="NoList"/>
    <w:pPr>
      <w:numPr>
        <w:numId w:val="18"/>
      </w:numPr>
    </w:pPr>
  </w:style>
  <w:style w:type="numbering" w:customStyle="1" w:styleId="LFO25">
    <w:name w:val="LFO25"/>
    <w:basedOn w:val="NoList"/>
    <w:pPr>
      <w:numPr>
        <w:numId w:val="19"/>
      </w:numPr>
    </w:pPr>
  </w:style>
  <w:style w:type="numbering" w:customStyle="1" w:styleId="LFO28">
    <w:name w:val="LFO28"/>
    <w:basedOn w:val="NoList"/>
    <w:pPr>
      <w:numPr>
        <w:numId w:val="20"/>
      </w:numPr>
    </w:pPr>
  </w:style>
  <w:style w:type="numbering" w:customStyle="1" w:styleId="LFO30">
    <w:name w:val="LFO30"/>
    <w:basedOn w:val="NoLis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Sara G. Gambier</cp:lastModifiedBy>
  <cp:revision>2</cp:revision>
  <cp:lastPrinted>2021-10-12T10:45:00Z</cp:lastPrinted>
  <dcterms:created xsi:type="dcterms:W3CDTF">2022-06-28T07:39:00Z</dcterms:created>
  <dcterms:modified xsi:type="dcterms:W3CDTF">2022-06-28T07:39:00Z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